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60"/>
          <w:tab w:val="center" w:pos="4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60"/>
          <w:tab w:val="center" w:pos="4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60"/>
          <w:tab w:val="center" w:pos="4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60"/>
          <w:tab w:val="center" w:pos="4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60"/>
          <w:tab w:val="center" w:pos="4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乌环评（高）审〔202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新疆凯沃科技有限公司纺熔复合非织造布产业项目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环境影响报告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新疆凯沃科技有限公司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公司</w:t>
      </w:r>
      <w:r>
        <w:rPr>
          <w:rFonts w:hint="eastAsia" w:ascii="方正仿宋_GBK" w:hAnsi="仿宋" w:eastAsia="方正仿宋_GBK" w:cs="方正仿宋_GBK"/>
          <w:sz w:val="32"/>
          <w:szCs w:val="32"/>
          <w:lang w:val="en-US" w:eastAsia="zh-CN"/>
        </w:rPr>
        <w:t>向乌鲁木齐市生态环境局高新区（新市区）分局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报送由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乌鲁木齐天辰创展工程咨询有限公司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编制的《新疆凯沃科技有限公司纺熔复合非织造布产业项目环境影响报告表》（以下简称“报告表”）收悉，根据《中华人民共和国环境保护法》及国家、自治区环境保护管理之规定，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经审查，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投资125000万元（环保投资60万元），在乌鲁木齐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高新区（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新市区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）高新科技园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站路3801号新建纺熔复合非织造布产业项目，项目中心地理坐标为北纬43°57′48.4″，东经87°34′54.1″。项目占地面积63658㎡，主要建设内容为1条纺熔复合非织造布生产线，包含生产厂房、研发中心、仓储等配套设施。项目建成后，形成年产2万吨高性能非织布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要求你</w:t>
      </w:r>
      <w:r>
        <w:rPr>
          <w:rFonts w:hint="eastAsia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在项目实施过程中认真落实报告表提出的各项环保要求，严格执行环境保护“三同时”管理制度，做好污染预防和控制工作：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做好施工期扬尘污染控制，项目建设过程中须严格按照《乌鲁木齐市防治扬尘污染实施方案》要求做好扬尘污染控制工作，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落实“七个百分百”扬尘污染防治措施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对产生噪声的设备应采取屏蔽、隔声、减振等措施，并合理安排施工时间，对环境敏感点加装隔音设施，确保场界噪声符合《建筑施工场界环境噪声排放标准》（GB12523-2011）要求，特殊工艺需夜间施工的，须单独办理夜间施工手续，夜间严禁使用高噪声设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施工期生产废水经沉淀处理后循环使用，不外排，生活污水排入自建防渗化粪池，定期清运至城市污水处理厂处理。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施工产生的建筑垃圾应集中收集综合利用，不能利用的及时清运至填埋场；生活垃圾统一收集，清运至指定填埋场。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项目生产中产生的粉尘、有机废气等大气污染物的工序须配套安装、使用污染防治设施，废气经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催化燃烧工艺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处理后，通过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15m高的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专用排气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筒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排放，产品生产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车间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产生的废气排放浓度须满足《合成树脂工业污染物排放标准》（GB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31572-2015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）中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表5大气污染物特别排放限值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厂界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废气执行《合成树脂工业污染物排放标准》（GB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31572-2015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表9企业边界大气污染物浓度限值，厂区内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无组织排放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满足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《挥发性有机物无组织排放控制标准》（GB 37822-2019）中表A.1厂区内VOCs无组织排放限值中特别排放限值的要求。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bookmarkStart w:id="0" w:name="_Hlk4641782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项目生产废水经循环水池循环利用，不得外排；生活污水</w:t>
      </w:r>
      <w:bookmarkStart w:id="1" w:name="_Hlk46417972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满足《污水综合排放标准》（GB8978-1996）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及《污水排入城镇下水道水质标准》（GB/T31962-2015）标准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后</w:t>
      </w:r>
      <w:bookmarkEnd w:id="1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排入园区下水管网，最终进入污水处理厂。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项目操作车间须选用低噪声设备，同时采取屏蔽、隔声、减振、降噪等措施，确保厂界噪声排放满足《工业企业厂界环境噪声排放标准》（GB12348-2008）中3类标准。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经营过程中产生的固体废物、生活垃圾等分类收集、存放并及时送至有资质的单位进行处理；项目产生的废润滑油、废切削液、废活性炭等危险废物存放须按照《危险废物贮存污染控制标准》（GB18597-2001）执行，建立危险废物运行管理台账并交由资质单位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应按《报告表》的意见和建议，建立健全管理制度，加强日常管理，制定各污染源岗位责任制度、操作规范以及环境风险事故应急预案，确保各类污染物的安全处置。项目污染物排放实行总量控制制度，核定项目污染物总量控制指标为：VOCs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1.49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t/a，</w:t>
      </w:r>
      <w:r>
        <w:rPr>
          <w:rFonts w:eastAsia="方正仿宋_GBK"/>
          <w:snapToGrid/>
          <w:color w:val="000000"/>
          <w:kern w:val="2"/>
          <w:sz w:val="32"/>
          <w:szCs w:val="32"/>
        </w:rPr>
        <w:t>从</w:t>
      </w:r>
      <w:r>
        <w:rPr>
          <w:rFonts w:hint="eastAsia" w:eastAsia="方正仿宋_GBK"/>
          <w:snapToGrid/>
          <w:color w:val="000000"/>
          <w:kern w:val="2"/>
          <w:sz w:val="32"/>
          <w:szCs w:val="32"/>
        </w:rPr>
        <w:t>新疆亚华威化纤制品有限公司</w:t>
      </w:r>
      <w:r>
        <w:rPr>
          <w:rFonts w:hint="eastAsia" w:eastAsia="方正仿宋_GBK"/>
          <w:snapToGrid/>
          <w:color w:val="auto"/>
          <w:kern w:val="2"/>
          <w:sz w:val="32"/>
          <w:szCs w:val="32"/>
          <w:lang w:eastAsia="zh-CN"/>
        </w:rPr>
        <w:t>关停项目</w:t>
      </w:r>
      <w:r>
        <w:rPr>
          <w:rFonts w:eastAsia="方正仿宋_GBK"/>
          <w:snapToGrid/>
          <w:color w:val="auto"/>
          <w:kern w:val="2"/>
          <w:sz w:val="32"/>
          <w:szCs w:val="32"/>
        </w:rPr>
        <w:t>倍量替代</w:t>
      </w:r>
      <w:r>
        <w:rPr>
          <w:rFonts w:eastAsia="方正仿宋_GBK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仿宋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zh-CN" w:bidi="ar-SA"/>
        </w:rPr>
        <w:t>报告表经批准后，建设项目的性质、规模、地点、采用的生产工艺或者防治污染、防止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生态破坏的措施发生重大变动</w:t>
      </w:r>
      <w:r>
        <w:rPr>
          <w:rFonts w:hint="eastAsia" w:ascii="方正仿宋_GBK" w:hAnsi="仿宋" w:eastAsia="方正仿宋_GBK" w:cs="方正仿宋_GBK"/>
          <w:sz w:val="32"/>
          <w:szCs w:val="32"/>
          <w:lang w:val="en-US" w:eastAsia="zh-CN"/>
        </w:rPr>
        <w:t>的，你公司应当重新报批建设项目的环境影响评价文件。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3" w:rightChars="-73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按照排污许可管理有关规定，纳入排污许可管理的单位，应当在启动生产设施或者在实际排污之前申请或变更排污许可证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3" w:rightChars="-73" w:firstLine="640" w:firstLineChars="200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、高新区（新市区）环境监察大队将对此项目建设进行日常监督管理，市环境监察支队负责抽查。项目建成后，你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须按照规定程序办理项目竣工环保验收，验收合格后方可运营。否则我局将依据环境保护有关法律、法规给予行政处罚。</w:t>
      </w:r>
    </w:p>
    <w:p>
      <w:pPr>
        <w:tabs>
          <w:tab w:val="left" w:pos="4578"/>
        </w:tabs>
        <w:spacing w:line="560" w:lineRule="exact"/>
        <w:ind w:firstLine="5766" w:firstLineChars="180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578"/>
        </w:tabs>
        <w:spacing w:line="560" w:lineRule="exact"/>
        <w:ind w:firstLine="5766" w:firstLineChars="180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578"/>
        </w:tabs>
        <w:spacing w:line="560" w:lineRule="exact"/>
        <w:ind w:firstLine="5766" w:firstLineChars="180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2" w:name="_GoBack"/>
      <w:bookmarkEnd w:id="2"/>
    </w:p>
    <w:p>
      <w:pPr>
        <w:tabs>
          <w:tab w:val="left" w:pos="4578"/>
        </w:tabs>
        <w:spacing w:line="560" w:lineRule="exact"/>
        <w:ind w:firstLine="5766" w:firstLineChars="1802"/>
        <w:jc w:val="both"/>
        <w:rPr>
          <w:rFonts w:hint="eastAsia" w:eastAsia="方正仿宋_GBK" w:cs="Times New Roman"/>
          <w:bCs/>
          <w:w w:val="1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eastAsia="方正仿宋_GBK" w:cs="Times New Roman"/>
          <w:bCs/>
          <w:w w:val="100"/>
          <w:sz w:val="32"/>
          <w:szCs w:val="32"/>
          <w:u w:val="singl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 w:eastAsia="方正仿宋_GBK" w:cs="Times New Roman"/>
          <w:bCs/>
          <w:w w:val="100"/>
          <w:sz w:val="32"/>
          <w:szCs w:val="32"/>
          <w:u w:val="singl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bCs/>
          <w:w w:val="10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pStyle w:val="2"/>
        <w:ind w:left="0" w:leftChars="0" w:firstLine="0" w:firstLineChars="0"/>
        <w:rPr>
          <w:rFonts w:hint="default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w w:val="100"/>
          <w:sz w:val="32"/>
          <w:szCs w:val="32"/>
          <w:u w:val="single"/>
        </w:rPr>
        <w:t>抄送：本局领导</w:t>
      </w:r>
      <w:r>
        <w:rPr>
          <w:rFonts w:hint="eastAsia" w:eastAsia="方正仿宋_GBK" w:cs="Times New Roman"/>
          <w:bCs/>
          <w:w w:val="100"/>
          <w:sz w:val="32"/>
          <w:szCs w:val="32"/>
          <w:u w:val="single"/>
          <w:lang w:eastAsia="zh-CN"/>
        </w:rPr>
        <w:t>、高新区（新市区）环境监察大队</w:t>
      </w:r>
      <w:r>
        <w:rPr>
          <w:rFonts w:hint="eastAsia" w:eastAsia="方正仿宋_GBK" w:cs="Times New Roman"/>
          <w:bCs/>
          <w:w w:val="10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widowControl/>
        <w:tabs>
          <w:tab w:val="left" w:pos="4578"/>
        </w:tabs>
        <w:spacing w:line="440" w:lineRule="exact"/>
        <w:jc w:val="left"/>
      </w:pPr>
      <w:r>
        <w:rPr>
          <w:rFonts w:hint="eastAsia" w:eastAsia="方正仿宋_GBK" w:cs="Times New Roman"/>
          <w:bCs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  <w:u w:val="single"/>
        </w:rPr>
        <w:t>20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  <w:u w:val="single"/>
          <w:lang w:val="en-US" w:eastAsia="zh-CN"/>
        </w:rPr>
        <w:t>2</w:t>
      </w:r>
      <w:r>
        <w:rPr>
          <w:rFonts w:hint="eastAsia" w:eastAsia="方正仿宋_GBK" w:cs="Times New Roman"/>
          <w:bCs/>
          <w:spacing w:val="0"/>
          <w:w w:val="100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  <w:u w:val="single"/>
        </w:rPr>
        <w:t>年</w:t>
      </w:r>
      <w:r>
        <w:rPr>
          <w:rFonts w:hint="eastAsia" w:eastAsia="方正仿宋_GBK" w:cs="Times New Roman"/>
          <w:bCs/>
          <w:spacing w:val="0"/>
          <w:w w:val="100"/>
          <w:sz w:val="32"/>
          <w:szCs w:val="32"/>
          <w:u w:val="singl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  <w:u w:val="single"/>
        </w:rPr>
        <w:t>月</w:t>
      </w:r>
      <w:r>
        <w:rPr>
          <w:rFonts w:hint="eastAsia" w:eastAsia="方正仿宋_GBK" w:cs="Times New Roman"/>
          <w:bCs/>
          <w:spacing w:val="0"/>
          <w:w w:val="100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pacing w:val="0"/>
          <w:w w:val="100"/>
          <w:sz w:val="32"/>
          <w:szCs w:val="32"/>
          <w:u w:val="single"/>
        </w:rPr>
        <w:t xml:space="preserve">日印发  </w:t>
      </w:r>
    </w:p>
    <w:sectPr>
      <w:footerReference r:id="rId3" w:type="default"/>
      <w:pgSz w:w="11906" w:h="16838"/>
      <w:pgMar w:top="2098" w:right="1531" w:bottom="1984" w:left="1531" w:header="851" w:footer="127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425E5"/>
    <w:multiLevelType w:val="singleLevel"/>
    <w:tmpl w:val="A47425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CD9D2B"/>
    <w:multiLevelType w:val="singleLevel"/>
    <w:tmpl w:val="C3CD9D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64AB"/>
    <w:rsid w:val="01F11531"/>
    <w:rsid w:val="02057D32"/>
    <w:rsid w:val="04B2467D"/>
    <w:rsid w:val="05EE3246"/>
    <w:rsid w:val="06FC113E"/>
    <w:rsid w:val="0D336A9B"/>
    <w:rsid w:val="0D8320A7"/>
    <w:rsid w:val="0E1176C3"/>
    <w:rsid w:val="0EB055EA"/>
    <w:rsid w:val="105E0611"/>
    <w:rsid w:val="11292CC3"/>
    <w:rsid w:val="12351BCB"/>
    <w:rsid w:val="12E77EDB"/>
    <w:rsid w:val="15CD1E09"/>
    <w:rsid w:val="16710EA3"/>
    <w:rsid w:val="16C50C67"/>
    <w:rsid w:val="16E63F9D"/>
    <w:rsid w:val="1814141C"/>
    <w:rsid w:val="18647FA8"/>
    <w:rsid w:val="1931305E"/>
    <w:rsid w:val="1B06460D"/>
    <w:rsid w:val="1B83308F"/>
    <w:rsid w:val="1D1D274B"/>
    <w:rsid w:val="1DC776B1"/>
    <w:rsid w:val="1F4D49F3"/>
    <w:rsid w:val="1F6250BB"/>
    <w:rsid w:val="20727980"/>
    <w:rsid w:val="222243E2"/>
    <w:rsid w:val="22456E17"/>
    <w:rsid w:val="261F6392"/>
    <w:rsid w:val="26D7028E"/>
    <w:rsid w:val="274578EB"/>
    <w:rsid w:val="27AB7E07"/>
    <w:rsid w:val="28506B7E"/>
    <w:rsid w:val="28B86B0B"/>
    <w:rsid w:val="2B677F41"/>
    <w:rsid w:val="2EEF094D"/>
    <w:rsid w:val="2F8822D0"/>
    <w:rsid w:val="31133974"/>
    <w:rsid w:val="31235299"/>
    <w:rsid w:val="318E6CF6"/>
    <w:rsid w:val="31922678"/>
    <w:rsid w:val="32157861"/>
    <w:rsid w:val="32761C36"/>
    <w:rsid w:val="332528B1"/>
    <w:rsid w:val="352C0DC5"/>
    <w:rsid w:val="35C7307D"/>
    <w:rsid w:val="35F25A8C"/>
    <w:rsid w:val="370004AB"/>
    <w:rsid w:val="386A26BA"/>
    <w:rsid w:val="388065EA"/>
    <w:rsid w:val="39CB5036"/>
    <w:rsid w:val="39D65437"/>
    <w:rsid w:val="3B7C1CB5"/>
    <w:rsid w:val="3BE935F9"/>
    <w:rsid w:val="3C9016ED"/>
    <w:rsid w:val="3D005665"/>
    <w:rsid w:val="3D9109BF"/>
    <w:rsid w:val="3DAB2950"/>
    <w:rsid w:val="3E417150"/>
    <w:rsid w:val="3F4C1936"/>
    <w:rsid w:val="40126D44"/>
    <w:rsid w:val="403605F5"/>
    <w:rsid w:val="427D2173"/>
    <w:rsid w:val="42E62A94"/>
    <w:rsid w:val="43F57735"/>
    <w:rsid w:val="44653E4D"/>
    <w:rsid w:val="455647EB"/>
    <w:rsid w:val="45854C3A"/>
    <w:rsid w:val="45D0691B"/>
    <w:rsid w:val="45F01AB8"/>
    <w:rsid w:val="46951CA1"/>
    <w:rsid w:val="470522FC"/>
    <w:rsid w:val="4804168F"/>
    <w:rsid w:val="48A8563C"/>
    <w:rsid w:val="49667CE2"/>
    <w:rsid w:val="4B612380"/>
    <w:rsid w:val="4D9E2C34"/>
    <w:rsid w:val="4EE45E18"/>
    <w:rsid w:val="4FA1548B"/>
    <w:rsid w:val="51F20731"/>
    <w:rsid w:val="522C7016"/>
    <w:rsid w:val="52E924FA"/>
    <w:rsid w:val="54A91F90"/>
    <w:rsid w:val="55923A2D"/>
    <w:rsid w:val="56F6218E"/>
    <w:rsid w:val="5733663C"/>
    <w:rsid w:val="57521D63"/>
    <w:rsid w:val="58305B2D"/>
    <w:rsid w:val="592C7470"/>
    <w:rsid w:val="5BCB79B8"/>
    <w:rsid w:val="5CAF3101"/>
    <w:rsid w:val="5D005BBC"/>
    <w:rsid w:val="5EE87DF6"/>
    <w:rsid w:val="5F244BA4"/>
    <w:rsid w:val="60211106"/>
    <w:rsid w:val="608449BC"/>
    <w:rsid w:val="60BB600E"/>
    <w:rsid w:val="61505DE8"/>
    <w:rsid w:val="61513D4F"/>
    <w:rsid w:val="618D5B7C"/>
    <w:rsid w:val="61EB6347"/>
    <w:rsid w:val="625471A1"/>
    <w:rsid w:val="65142D1D"/>
    <w:rsid w:val="66AE335E"/>
    <w:rsid w:val="66B5702D"/>
    <w:rsid w:val="69244D7F"/>
    <w:rsid w:val="69515DA2"/>
    <w:rsid w:val="69FF275F"/>
    <w:rsid w:val="6B192077"/>
    <w:rsid w:val="6B4B72FD"/>
    <w:rsid w:val="6D1A344C"/>
    <w:rsid w:val="6EBF60DC"/>
    <w:rsid w:val="700B51C3"/>
    <w:rsid w:val="711606E8"/>
    <w:rsid w:val="72984436"/>
    <w:rsid w:val="72C867A8"/>
    <w:rsid w:val="749C594D"/>
    <w:rsid w:val="755B09E7"/>
    <w:rsid w:val="757A185F"/>
    <w:rsid w:val="760D2D90"/>
    <w:rsid w:val="76343114"/>
    <w:rsid w:val="78BA5E76"/>
    <w:rsid w:val="79182D7C"/>
    <w:rsid w:val="7A6E284F"/>
    <w:rsid w:val="7B5343D9"/>
    <w:rsid w:val="7D3E4938"/>
    <w:rsid w:val="7F3A1A68"/>
    <w:rsid w:val="7F482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  <w:szCs w:val="24"/>
    </w:rPr>
  </w:style>
  <w:style w:type="paragraph" w:styleId="3">
    <w:name w:val="Body Text Indent"/>
    <w:basedOn w:val="1"/>
    <w:qFormat/>
    <w:uiPriority w:val="0"/>
    <w:pPr>
      <w:ind w:left="720" w:hanging="720" w:hangingChars="225"/>
    </w:pPr>
    <w:rPr>
      <w:rFonts w:hint="eastAsia" w:ascii="宋体" w:hAnsi="宋体"/>
      <w:bCs/>
      <w:spacing w:val="2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 w:val="21"/>
    </w:r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xzsp-pc15</dc:creator>
  <cp:lastModifiedBy>Administrator</cp:lastModifiedBy>
  <cp:lastPrinted>2020-04-30T03:54:00Z</cp:lastPrinted>
  <dcterms:modified xsi:type="dcterms:W3CDTF">2021-07-14T04:05:31Z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A639D4F54AA34BCE886E6A31D7CF66A9</vt:lpwstr>
  </property>
</Properties>
</file>