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jc w:val="both"/>
        <w:textAlignment w:val="auto"/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lang w:eastAsia="zh-CN"/>
        </w:rPr>
        <w:t>高新区（新市区）教育局</w:t>
      </w: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</w:rPr>
        <w:t>重大执法决定法制审核制度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jc w:val="both"/>
        <w:textAlignment w:val="auto"/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第一条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 xml:space="preserve">  为完善行政执法程序，保证行政执法决定的合法、有效，促进严格、规范、公正、文明执法，根据有关法律、法规和规章的规定，结合我局实际，制定本制度。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第二条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 xml:space="preserve">  本制度适用于我局行政执法科室重大行政执法活动。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第三条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 xml:space="preserve">  行政执法科室作出重大行政执法决定前，应依照本制度规定对拟作出的决定进行法制审核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法律、法规、规章规定因情况紧急等原因，需作出即时性、应急性行政执法决定的除外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）。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第四条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 xml:space="preserve">  本制度所称重大行政执法决定，是指有下列情形之一的行政执法决定：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（一）行政执法科室依法应当组织听证的；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（二）当事人、利害关系人的权益可能受到重大影响的；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（三）当事人、利害关系人人数较多或者争议较大的；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（四）行政执法事项疑难、复杂的；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（五）法律、法规、规章以及国家和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自治区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、市级行政规范性文件规定的其他情形。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第五条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 xml:space="preserve">  行政执法科室作出重大行政执法决定前，应先将拟作出的决定及相关证据、依据等材料送交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依法行政领导小组审核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第六条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 xml:space="preserve">  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依法行政领导小组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在收到拟作出重大行政执法行为相关材料后，应当在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个工作日内审查完毕。因特殊情况需要延长期限的，应当经分管领导批准后延长，但延长期限不得超过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日。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第七条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 xml:space="preserve">  依法行政领导小组对重大行政执法行为进行审核，主要包括以下内容：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（一）当事人的基本情况是否查清；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（二）是否属于本机关的职权范围；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（三）事实是否清楚，证据是否确凿、充分，材料是否齐全；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（四）定性是否准确，适用法律、法规、规章依据是否正确；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（五）程序是否合法；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（六）内容是否适当；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（七）其他依法应当审核的事项。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第八条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 xml:space="preserve"> 依法行政领导小组应及时审核，严格认真把关，并根据不同情况，提出相应的书面意见和建议：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（一）对事实清楚、证据确凿充分、定性准确、程序合法的，提出同意的意见；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（二）对违法行为不能成立的，提出不予批准的建议；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（三）对事实不清、证据不足的，建议补充调查，并将案卷材料退回；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（四）对定性不准、适用法律不当的，提出修正意见；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（五）对程序违法的，提出纠正意见；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（六）对超出管辖范围的，提出移送意见；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（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七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）对重大、复杂案件，建议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党组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研究决定；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（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八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）对违法行为涉嫌犯罪的，提出移送司法机关的建议。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第九条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 xml:space="preserve">  依法行政领导小组审核完毕，应当制作《重大行政执法决定法制审核意见书》一式两份，一份留存归档，一份连同案卷材料退回行政执法科室。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 xml:space="preserve">第十条 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 行政执法科室或者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其他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人员不按本制度规定报送相关材料提请法制审核，或负责审批人未经法律审核程序予以审批，致使重大行政执法决定错误的，由办案人和负责审批人承担执法过错责任。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第十一条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本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制度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自发布之日起施行。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bookmarkEnd w:id="0"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lOGFlNzAyMDU3YzdkNDBkNTYzMjk3NjY5MzlmNDYifQ=="/>
  </w:docVars>
  <w:rsids>
    <w:rsidRoot w:val="00000000"/>
    <w:rsid w:val="02531CDF"/>
    <w:rsid w:val="098F45DA"/>
    <w:rsid w:val="10922C37"/>
    <w:rsid w:val="1F8D41FD"/>
    <w:rsid w:val="28CF7221"/>
    <w:rsid w:val="2C907469"/>
    <w:rsid w:val="3C7F050C"/>
    <w:rsid w:val="4B362722"/>
    <w:rsid w:val="4CE32D43"/>
    <w:rsid w:val="4D2847D7"/>
    <w:rsid w:val="603F0D2F"/>
    <w:rsid w:val="67FF2D6A"/>
    <w:rsid w:val="6BDD3AC0"/>
    <w:rsid w:val="77B13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1063</Words>
  <Characters>1064</Characters>
  <Lines>0</Lines>
  <Paragraphs>0</Paragraphs>
  <TotalTime>10</TotalTime>
  <ScaleCrop>false</ScaleCrop>
  <LinksUpToDate>false</LinksUpToDate>
  <CharactersWithSpaces>1086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2023-03-24T08:38:00Z</dcterms:created>
  <dc:creator>Administrator</dc:creator>
  <cp:lastModifiedBy>峰</cp:lastModifiedBy>
  <cp:lastPrinted>2023-03-24T09:29:00Z</cp:lastPrinted>
  <dcterms:modified xsi:type="dcterms:W3CDTF">2023-03-30T10:08:51Z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E8935BC6C9C64E4282C4EF4C60B8BD41</vt:lpwstr>
  </property>
</Properties>
</file>