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default" w:ascii="楷体_GB2312" w:hAnsi="Times New Roman" w:eastAsia="楷体_GB2312" w:cs="楷体_GB2312"/>
          <w:b/>
          <w:bCs/>
          <w:kern w:val="2"/>
          <w:sz w:val="30"/>
          <w:szCs w:val="30"/>
        </w:rPr>
      </w:pPr>
      <w:r>
        <w:rPr>
          <w:rFonts w:hint="default" w:ascii="楷体_GB2312" w:hAnsi="Times New Roman" w:eastAsia="楷体_GB2312" w:cs="楷体_GB2312"/>
          <w:b/>
          <w:bCs/>
          <w:kern w:val="2"/>
          <w:sz w:val="30"/>
          <w:szCs w:val="30"/>
        </w:rPr>
        <w:t xml:space="preserve">统一社会信用代码   </w:t>
      </w:r>
    </w:p>
    <w:p>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18"/>
          <w:rFonts w:hint="default" w:ascii="Times New Roman" w:hAnsi="Times New Roman" w:eastAsia="楷体_GB2312" w:cs="Times New Roman"/>
          <w:b/>
          <w:bCs/>
          <w:sz w:val="30"/>
          <w:szCs w:val="30"/>
        </w:rPr>
        <w:t>12650104396927565R</w:t>
      </w:r>
      <w:r>
        <w:rPr>
          <w:rFonts w:hint="default" w:ascii="Times New Roman" w:hAnsi="Times New Roman" w:eastAsia="楷体_GB2312" w:cs="Times New Roman"/>
          <w:b/>
          <w:bCs/>
          <w:kern w:val="2"/>
          <w:sz w:val="30"/>
          <w:szCs w:val="30"/>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pPr>
        <w:jc w:val="center"/>
        <w:rPr>
          <w:rFonts w:hint="default" w:ascii="Times New Roman" w:hAnsi="Times New Roman" w:eastAsia="楷体_GB2312" w:cs="Times New Roman"/>
          <w:b/>
          <w:bCs/>
          <w:spacing w:val="30"/>
          <w:kern w:val="2"/>
          <w:sz w:val="36"/>
          <w:szCs w:val="36"/>
        </w:rPr>
      </w:pPr>
      <w:r>
        <w:rPr>
          <w:rFonts w:hint="default"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18"/>
          <w:rFonts w:hint="default" w:ascii="Times New Roman" w:hAnsi="Times New Roman" w:eastAsia="楷体_GB2312" w:cs="Times New Roman"/>
          <w:b/>
          <w:bCs/>
          <w:sz w:val="30"/>
          <w:szCs w:val="30"/>
        </w:rPr>
        <w:t>2022</w:t>
      </w:r>
      <w:r>
        <w:rPr>
          <w:rFonts w:hint="default" w:ascii="Times New Roman" w:hAnsi="Times New Roman" w:eastAsia="楷体_GB2312" w:cs="Times New Roman"/>
          <w:b/>
          <w:bCs/>
          <w:spacing w:val="30"/>
          <w:kern w:val="2"/>
          <w:sz w:val="36"/>
          <w:szCs w:val="36"/>
        </w:rPr>
        <w:t xml:space="preserve">  </w:t>
      </w:r>
      <w:r>
        <w:rPr>
          <w:rFonts w:hint="default" w:ascii="楷体_GB2312" w:hAnsi="Times New Roman" w:eastAsia="楷体_GB2312" w:cs="楷体_GB2312"/>
          <w:b/>
          <w:bCs/>
          <w:spacing w:val="30"/>
          <w:kern w:val="2"/>
          <w:sz w:val="36"/>
          <w:szCs w:val="36"/>
        </w:rPr>
        <w:t>年度）</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5"/>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default" w:ascii="楷体_GB2312" w:hAnsi="Times New Roman" w:eastAsia="楷体_GB2312" w:cs="楷体_GB2312"/>
                <w:kern w:val="2"/>
                <w:sz w:val="32"/>
                <w:szCs w:val="32"/>
                <w:bdr w:val="none" w:color="auto" w:sz="0" w:space="0"/>
              </w:rPr>
            </w:pPr>
            <w:r>
              <w:rPr>
                <w:rStyle w:val="24"/>
                <w:rFonts w:hint="default" w:ascii="楷体_GB2312" w:hAnsi="Times New Roman" w:eastAsia="楷体_GB2312" w:cs="楷体_GB2312"/>
                <w:sz w:val="28"/>
                <w:szCs w:val="28"/>
                <w:bdr w:val="none" w:color="auto" w:sz="0" w:space="0"/>
              </w:rPr>
              <w:t>乌鲁木齐高新技术产业开发区（乌鲁木齐市新市区）经济责任审计中心</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5"/>
                <w:rFonts w:hint="eastAsia" w:ascii="黑体" w:hAnsi="宋体" w:eastAsia="黑体" w:cs="黑体"/>
                <w:b/>
                <w:bCs/>
                <w:sz w:val="36"/>
                <w:szCs w:val="36"/>
                <w:bdr w:val="none" w:color="auto" w:sz="0" w:space="0"/>
              </w:rPr>
              <w:t>法</w:t>
            </w:r>
            <w:r>
              <w:rPr>
                <w:rStyle w:val="25"/>
                <w:rFonts w:hint="eastAsia" w:ascii="黑体" w:hAnsi="宋体" w:eastAsia="黑体" w:cs="黑体"/>
                <w:b/>
                <w:bCs/>
                <w:spacing w:val="30"/>
                <w:sz w:val="36"/>
                <w:szCs w:val="36"/>
                <w:bdr w:val="none" w:color="auto" w:sz="0" w:space="0"/>
              </w:rPr>
              <w:t>定代表</w:t>
            </w:r>
            <w:r>
              <w:rPr>
                <w:rStyle w:val="25"/>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国家事业单位登记管理局制</w:t>
      </w:r>
    </w:p>
    <w:p>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《事业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单位</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法人</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证书》</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登载</w:t>
            </w:r>
          </w:p>
          <w:p>
            <w:pPr>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pPr>
              <w:spacing w:line="320" w:lineRule="exact"/>
              <w:jc w:val="lef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乌鲁木齐高新技术产业开发区（乌鲁木齐市新市区）经济责任审计中心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宗旨和</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受委托开展区管党政领导干部、国有企业及控股企业法定代表人的任期经济责任工作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乌鲁木齐市四平路2288号创新广场A座1521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1.77（万元）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32"/>
                <w:szCs w:val="32"/>
                <w:bdr w:val="none" w:color="auto" w:sz="0" w:space="0"/>
              </w:rPr>
            </w:pPr>
            <w:r>
              <w:rPr>
                <w:rStyle w:val="24"/>
                <w:rFonts w:hint="default" w:ascii="楷体_GB2312" w:hAnsi="Times New Roman" w:eastAsia="楷体_GB2312" w:cs="楷体_GB2312"/>
                <w:sz w:val="28"/>
                <w:szCs w:val="28"/>
                <w:bdr w:val="none" w:color="auto" w:sz="0" w:space="0"/>
              </w:rPr>
              <w:t>财政补助（全额预算管理）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乌鲁木齐高新技术产业开发区（乌鲁木齐市新市区）审计局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资产</w:t>
            </w:r>
          </w:p>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损益</w:t>
            </w:r>
          </w:p>
          <w:p>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3"/>
                <w:rFonts w:hint="default" w:ascii="楷体_GB2312" w:hAnsi="Times New Roman" w:eastAsia="楷体_GB2312" w:cs="楷体_GB2312"/>
                <w:sz w:val="32"/>
                <w:szCs w:val="32"/>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3"/>
                <w:rFonts w:hint="default" w:ascii="楷体_GB2312"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3"/>
                <w:rFonts w:hint="default" w:ascii="楷体_GB2312" w:hAnsi="Times New Roman" w:eastAsia="楷体_GB2312" w:cs="楷体_GB2312"/>
                <w:sz w:val="32"/>
                <w:szCs w:val="32"/>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3"/>
                <w:rFonts w:hint="default" w:ascii="Times New Roman" w:hAnsi="Times New Roman" w:eastAsia="楷体_GB2312" w:cs="Times New Roman"/>
                <w:sz w:val="32"/>
                <w:szCs w:val="32"/>
                <w:bdr w:val="none" w:color="auto" w:sz="0" w:space="0"/>
              </w:rPr>
              <w:t>1.77</w:t>
            </w:r>
          </w:p>
        </w:tc>
        <w:tc>
          <w:tcPr>
            <w:tcW w:w="4154" w:type="dxa"/>
            <w:gridSpan w:val="2"/>
            <w:tcBorders>
              <w:top w:val="single" w:color="auto" w:sz="4" w:space="0"/>
              <w:left w:val="nil"/>
              <w:bottom w:val="single" w:color="auto" w:sz="4" w:space="0"/>
              <w:right w:val="single" w:color="auto" w:sz="12" w:space="0"/>
            </w:tcBorders>
            <w:shd w:val="clear"/>
            <w:vAlign w:val="top"/>
          </w:tcPr>
          <w:p>
            <w:pPr>
              <w:jc w:val="center"/>
              <w:rPr>
                <w:rFonts w:hint="default" w:ascii="Times New Roman" w:hAnsi="Times New Roman" w:eastAsia="宋体" w:cs="Times New Roman"/>
                <w:kern w:val="2"/>
                <w:sz w:val="21"/>
                <w:szCs w:val="21"/>
                <w:bdr w:val="none" w:color="auto" w:sz="0" w:space="0"/>
              </w:rPr>
            </w:pPr>
            <w:r>
              <w:rPr>
                <w:rStyle w:val="24"/>
                <w:rFonts w:hint="default" w:ascii="Times New Roman" w:hAnsi="Times New Roman" w:eastAsia="楷体_GB2312" w:cs="Times New Roman"/>
                <w:sz w:val="32"/>
                <w:szCs w:val="32"/>
                <w:bdr w:val="none" w:color="auto" w:sz="0" w:space="0"/>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default" w:ascii="楷体_GB2312" w:hAnsi="Times New Roman" w:eastAsia="楷体_GB2312" w:cs="楷体_GB2312"/>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pPr>
              <w:spacing w:line="0" w:lineRule="atLeast"/>
              <w:jc w:val="left"/>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乌鲁木齐高新技术产业开发区（乌鲁木齐市新市区）经济责任审计中心</w:t>
            </w:r>
          </w:p>
        </w:tc>
        <w:tc>
          <w:tcPr>
            <w:tcW w:w="1702" w:type="dxa"/>
            <w:tcBorders>
              <w:top w:val="single" w:color="auto" w:sz="4" w:space="0"/>
              <w:left w:val="nil"/>
              <w:bottom w:val="single" w:color="auto" w:sz="4" w:space="0"/>
              <w:right w:val="single" w:color="auto" w:sz="4" w:space="0"/>
            </w:tcBorders>
            <w:shd w:val="clear"/>
            <w:vAlign w:val="center"/>
          </w:tcPr>
          <w:p>
            <w:pPr>
              <w:jc w:val="center"/>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pPr>
              <w:spacing w:line="0" w:lineRule="atLeast"/>
              <w:jc w:val="left"/>
              <w:rPr>
                <w:rFonts w:hint="default" w:ascii="楷体_GB2312" w:hAnsi="Times New Roman" w:eastAsia="楷体_GB2312" w:cs="楷体_GB2312"/>
                <w:kern w:val="2"/>
                <w:sz w:val="32"/>
                <w:szCs w:val="32"/>
                <w:bdr w:val="none" w:color="auto" w:sz="0" w:space="0"/>
              </w:rPr>
            </w:pPr>
            <w:r>
              <w:rPr>
                <w:rStyle w:val="23"/>
                <w:rFonts w:hint="default" w:ascii="Times New Roman" w:hAnsi="Times New Roman" w:eastAsia="楷体_GB2312" w:cs="Times New Roman"/>
                <w:sz w:val="32"/>
                <w:szCs w:val="32"/>
                <w:bdr w:val="none" w:color="auto" w:sz="0" w:space="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对《条</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例》和</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实施细</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则有关</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变更登</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记规定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的执行</w:t>
            </w:r>
          </w:p>
          <w:p>
            <w:pPr>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开</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展</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务</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活</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动</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w:t>
            </w:r>
          </w:p>
          <w:p>
            <w:pPr>
              <w:jc w:val="center"/>
              <w:rPr>
                <w:rFonts w:hint="default" w:ascii="Times New Roman" w:hAnsi="Times New Roman" w:eastAsia="宋体" w:cs="Times New Roman"/>
                <w:kern w:val="2"/>
                <w:sz w:val="21"/>
                <w:szCs w:val="21"/>
                <w:u w:val="single"/>
                <w:bdr w:val="none" w:color="auto" w:sz="0" w:space="0"/>
              </w:rPr>
            </w:pP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按照区委、区政府安排部署，高新区（新市区）经济责任审计中心依法全面履行审计监督职责，坚持</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依法审计、服务大局、围绕中心、突出重点、求真务实</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的审计方针，在维护国家财政经济秩序、提高财政资金使用效益、促进廉政建设、保障经济社会健康发展和反腐败工作等方面发挥了重要作用。现将2022年度工作总结如下： 一、工作开展情况 1、开展2022年1月至11月乌鲁木齐市新冠肺炎疫情防控资金审计调查。根据市审计局工作安排，对我区开展2022年度新冠肺炎疫情防控专项资金审计，通过开展审计调查，了解全区用于疫情防控财政专项资金的规模、拨付和使用情况，重点揭示财政专项资金和疫情防控物资在分配使用方面存在的突出问题，分析评价疫情防控专项资金使用效益，提出有针对性的工作建议，进一步促进疫情防控专项资金、物资规范管理和高效使用。 2、开展对2021年度区本级预算执行及其他财政收支情况的审计工作，以部门预算为执行主线，把握部门主要特点，聚焦部门主要业务，围绕财政资金使用及效益，加强对贯彻落实党中央重大决策部署、预算管理、资金的管理使用等方面的审计力度，推动提高财政资金使用效益。 3、积极落实《审计法》相关精神，认真做好经济责任审计、自然资源资产审计、巡审联动等工作。受市审计局委托，对青格达湖乡人民政府党委书记范炯同志和乡长李静同志任职期间经济责任履行情况、自然资源资产（任中）开展审计工作。对第44中学原校长徐勇同志任职期间经济责任履行情况开展审计，并进行巡审联动。通过对单位财政、财务收支的真实、合法、效益情况进行审计，客观公正做出审计评价，明确经济责任，促进领导干部履职尽责，担当作为，推动我区经济健康发展。 4、扎实开展软件正版化审计。我区党政机关计算机系统多为购买计算机自带的操作系统，办公软件根据上级和有关部门要求为WPS 2019版，杀毒软件为免费版和上级下发版本，正版软件多为财务软件、专业软件，软件正版化率为100%。通过软件正版化审计，推动我区健全完善正版软件资产管理制度，加强正版软件管理，规范资金、资产使用管理。 5、开展惠农补贴资金</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一卡通</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发放管理使用情况审计。通过审计，确保惠民惠农资金专款专用，促进巩固拓展脱贫攻坚成果同乡村振兴有效衔接。 6、扎实做好乡村振兴补助资金监督工作。按照《2022年乌鲁木齐市财政衔接推进乡村振兴补助资金专项审计工作方案》，重点围绕项目管理、财政衔接推进乡村振兴补助资金管理使用情况、检查惠农补贴资金发放管理使用情况、以前年度审计查出问题整改情况等方面对2022年1月至10月末各级财政投入用于巩固拓展脱贫攻坚成果及乡村振兴的相关资金进行专项审计，深入分析问题原因，举一反三全面梳理风险隐患，推动整改落实，确保资金运行安全，项目持续发挥实效。 二、下年工作计划 2023年将紧紧围绕自治区党委、市委</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1+3</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 xml:space="preserve">工作部署和区委各项工作安排，认真领会党的二十大精神和中央新疆工作座谈会精神，坚持和完善党领导审计工作的体制机制，深入学习习近平总书记关于审计工作的重要讲话和重要指示精神，坚定不移把党的集中统一领导落实到审计工作的全过程各环节。 </w:t>
            </w:r>
          </w:p>
          <w:p>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rPr>
                <w:rFonts w:hint="default" w:ascii="Times New Roman" w:hAnsi="Times New Roman" w:eastAsia="宋体" w:cs="Times New Roman"/>
                <w:kern w:val="2"/>
                <w:sz w:val="21"/>
                <w:szCs w:val="21"/>
                <w:bdr w:val="none" w:color="auto" w:sz="0" w:space="0"/>
              </w:rPr>
            </w:pPr>
            <w:r>
              <w:rPr>
                <w:rFonts w:hint="default" w:ascii="楷体_GB2312"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接受捐赠</w:t>
            </w:r>
          </w:p>
          <w:p>
            <w:pPr>
              <w:spacing w:line="0" w:lineRule="atLeast"/>
              <w:rPr>
                <w:rFonts w:hint="default" w:ascii="Times New Roman" w:hAnsi="Times New Roman" w:eastAsia="宋体" w:cs="Times New Roman"/>
                <w:kern w:val="2"/>
                <w:sz w:val="21"/>
                <w:szCs w:val="21"/>
                <w:bdr w:val="none" w:color="auto" w:sz="0" w:space="0"/>
              </w:rPr>
            </w:pPr>
            <w:r>
              <w:rPr>
                <w:rFonts w:hint="default" w:ascii="楷体_GB2312"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无</w:t>
            </w:r>
          </w:p>
        </w:tc>
      </w:tr>
    </w:tbl>
    <w:p>
      <w:pPr>
        <w:jc w:val="left"/>
        <w:rPr>
          <w:rFonts w:hint="default" w:ascii="楷体_GB2312" w:hAnsi="Times New Roman" w:eastAsia="楷体_GB2312" w:cs="楷体_GB2312"/>
          <w:b/>
          <w:bCs/>
          <w:kern w:val="2"/>
          <w:sz w:val="28"/>
          <w:szCs w:val="28"/>
        </w:rPr>
      </w:pPr>
      <w:r>
        <w:rPr>
          <w:rFonts w:hint="default" w:ascii="楷体_GB2312" w:hAnsi="Times New Roman" w:eastAsia="楷体_GB2312" w:cs="楷体_GB2312"/>
          <w:b/>
          <w:bCs/>
          <w:kern w:val="2"/>
          <w:sz w:val="28"/>
          <w:szCs w:val="28"/>
        </w:rPr>
        <w:t xml:space="preserve">填表人： </w:t>
      </w:r>
      <w:r>
        <w:rPr>
          <w:rStyle w:val="23"/>
          <w:rFonts w:hint="default" w:ascii="楷体_GB2312" w:hAnsi="Times New Roman" w:eastAsia="楷体_GB2312" w:cs="楷体_GB2312"/>
          <w:sz w:val="28"/>
          <w:szCs w:val="28"/>
        </w:rPr>
        <w:t>刘浏</w:t>
      </w:r>
      <w:r>
        <w:rPr>
          <w:rFonts w:hint="default" w:ascii="楷体_GB2312" w:hAnsi="Times New Roman" w:eastAsia="楷体_GB2312" w:cs="楷体_GB2312"/>
          <w:b/>
          <w:bCs/>
          <w:kern w:val="2"/>
          <w:sz w:val="28"/>
          <w:szCs w:val="28"/>
        </w:rPr>
        <w:t xml:space="preserve">  </w:t>
      </w:r>
      <w:r>
        <w:rPr>
          <w:rStyle w:val="23"/>
          <w:rFonts w:hint="default" w:ascii="楷体_GB2312" w:hAnsi="Times New Roman" w:eastAsia="楷体_GB2312" w:cs="楷体_GB2312"/>
          <w:sz w:val="28"/>
          <w:szCs w:val="28"/>
        </w:rPr>
        <w:t xml:space="preserve">  </w:t>
      </w:r>
      <w:r>
        <w:rPr>
          <w:rFonts w:hint="default" w:ascii="楷体_GB2312" w:hAnsi="Times New Roman" w:eastAsia="楷体_GB2312" w:cs="楷体_GB2312"/>
          <w:b/>
          <w:bCs/>
          <w:kern w:val="2"/>
          <w:sz w:val="28"/>
          <w:szCs w:val="28"/>
        </w:rPr>
        <w:t>报送日期：</w:t>
      </w:r>
      <w:r>
        <w:rPr>
          <w:rStyle w:val="23"/>
          <w:rFonts w:hint="default" w:ascii="楷体_GB2312" w:hAnsi="Times New Roman" w:eastAsia="楷体_GB2312" w:cs="楷体_GB2312"/>
          <w:b/>
          <w:bCs/>
          <w:sz w:val="28"/>
          <w:szCs w:val="28"/>
        </w:rPr>
        <w:t>2023年01月13日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B7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autoRedefin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15"/>
    <w:basedOn w:val="13"/>
    <w:uiPriority w:val="0"/>
    <w:rPr>
      <w:rFonts w:hint="default" w:ascii="Times New Roman" w:hAnsi="Times New Roman" w:eastAsia="宋体" w:cs="Times New Roman"/>
      <w:sz w:val="18"/>
      <w:szCs w:val="18"/>
    </w:rPr>
  </w:style>
  <w:style w:type="character" w:customStyle="1" w:styleId="16">
    <w:name w:val="20"/>
    <w:basedOn w:val="13"/>
    <w:uiPriority w:val="0"/>
    <w:rPr>
      <w:rFonts w:hint="default" w:ascii="Times New Roman" w:hAnsi="Times New Roman" w:cs="Times New Roman"/>
    </w:rPr>
  </w:style>
  <w:style w:type="character" w:customStyle="1" w:styleId="17">
    <w:name w:val="18"/>
    <w:basedOn w:val="13"/>
    <w:uiPriority w:val="0"/>
    <w:rPr>
      <w:rFonts w:hint="default" w:ascii="Times New Roman" w:hAnsi="Times New Roman" w:cs="Times New Roman"/>
    </w:rPr>
  </w:style>
  <w:style w:type="character" w:customStyle="1" w:styleId="18">
    <w:name w:val="24"/>
    <w:basedOn w:val="13"/>
    <w:uiPriority w:val="0"/>
    <w:rPr>
      <w:rFonts w:hint="default" w:ascii="Times New Roman" w:hAnsi="Times New Roman" w:eastAsia="楷体_GB2312" w:cs="Times New Roman"/>
      <w:sz w:val="30"/>
      <w:szCs w:val="30"/>
    </w:rPr>
  </w:style>
  <w:style w:type="character" w:customStyle="1" w:styleId="19">
    <w:name w:val="10"/>
    <w:basedOn w:val="13"/>
    <w:uiPriority w:val="0"/>
    <w:rPr>
      <w:rFonts w:hint="default" w:ascii="Times New Roman" w:hAnsi="Times New Roman" w:cs="Times New Roman"/>
    </w:rPr>
  </w:style>
  <w:style w:type="character" w:customStyle="1" w:styleId="20">
    <w:name w:val="16"/>
    <w:basedOn w:val="13"/>
    <w:uiPriority w:val="0"/>
    <w:rPr>
      <w:rFonts w:hint="default" w:ascii="Times New Roman" w:hAnsi="Times New Roman" w:cs="Times New Roman"/>
    </w:rPr>
  </w:style>
  <w:style w:type="character" w:customStyle="1" w:styleId="21">
    <w:name w:val="17"/>
    <w:basedOn w:val="13"/>
    <w:uiPriority w:val="0"/>
    <w:rPr>
      <w:rFonts w:hint="default" w:ascii="Times New Roman" w:hAnsi="Times New Roman" w:cs="Times New Roman"/>
    </w:rPr>
  </w:style>
  <w:style w:type="character" w:customStyle="1" w:styleId="22">
    <w:name w:val="19"/>
    <w:basedOn w:val="13"/>
    <w:uiPriority w:val="0"/>
    <w:rPr>
      <w:rFonts w:hint="default" w:ascii="Times New Roman" w:hAnsi="Times New Roman" w:eastAsia="宋体" w:cs="Times New Roman"/>
      <w:sz w:val="18"/>
      <w:szCs w:val="18"/>
    </w:rPr>
  </w:style>
  <w:style w:type="character" w:customStyle="1" w:styleId="23">
    <w:name w:val="22"/>
    <w:basedOn w:val="13"/>
    <w:uiPriority w:val="0"/>
    <w:rPr>
      <w:rFonts w:hint="default" w:ascii="Times New Roman" w:hAnsi="Times New Roman" w:eastAsia="楷体_GB2312" w:cs="Times New Roman"/>
      <w:sz w:val="32"/>
      <w:szCs w:val="32"/>
    </w:rPr>
  </w:style>
  <w:style w:type="character" w:customStyle="1" w:styleId="24">
    <w:name w:val="21"/>
    <w:basedOn w:val="13"/>
    <w:uiPriority w:val="0"/>
    <w:rPr>
      <w:rFonts w:hint="default" w:ascii="Times New Roman" w:hAnsi="Times New Roman" w:eastAsia="楷体_GB2312" w:cs="Times New Roman"/>
      <w:sz w:val="28"/>
      <w:szCs w:val="28"/>
    </w:rPr>
  </w:style>
  <w:style w:type="character" w:customStyle="1" w:styleId="25">
    <w:name w:val="23"/>
    <w:basedOn w:val="13"/>
    <w:uiPriority w:val="0"/>
    <w:rPr>
      <w:rFonts w:hint="eastAsia" w:ascii="黑体" w:hAnsi="宋体" w:eastAsia="黑体" w:cs="黑体"/>
      <w:sz w:val="36"/>
      <w:szCs w:val="36"/>
    </w:rPr>
  </w:style>
  <w:style w:type="paragraph" w:customStyle="1" w:styleId="26">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7">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普通(网站) Char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Characters>1739</Characters>
  <Lines>4</Lines>
  <Paragraphs>1</Paragraph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2024-01-08T08:27:44Z</dcterms:created>
  <dc:creator>雨林木风</dc:creator>
  <cp:lastModifiedBy>峰</cp:lastModifiedBy>
  <dcterms:modified xsi:type="dcterms:W3CDTF">2024-01-08T08:29:54Z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EF8413D22CCC44228E109D0348A3C749_13</vt:lpwstr>
  </property>
</Properties>
</file>