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default" w:ascii="楷体_GB2312" w:hAnsi="Times New Roman" w:eastAsia="楷体_GB2312" w:cs="楷体_GB2312"/>
          <w:b/>
          <w:bCs w:val="0"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0"/>
          <w:szCs w:val="30"/>
        </w:rPr>
        <w:t xml:space="preserve">统一社会信用代码   </w:t>
      </w:r>
    </w:p>
    <w:p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17"/>
          <w:rFonts w:hint="default" w:ascii="Times New Roman" w:hAnsi="Times New Roman" w:eastAsia="楷体_GB2312" w:cs="Times New Roman"/>
          <w:b/>
          <w:bCs/>
          <w:sz w:val="30"/>
          <w:szCs w:val="30"/>
        </w:rPr>
        <w:t>12650104795792573Q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17"/>
          <w:rFonts w:hint="default" w:ascii="Times New Roman" w:hAnsi="Times New Roman" w:eastAsia="楷体_GB2312" w:cs="Times New Roman"/>
          <w:b/>
          <w:bCs/>
          <w:sz w:val="30"/>
          <w:szCs w:val="30"/>
        </w:rPr>
        <w:t>2020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乌鲁木齐市第八十一中学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20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20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乌鲁木齐市第八十一中学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宗旨：实施初中，小学义务教育，促进基础教育发展。业务范围：小学、初中义务教育（相关社会服务）。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乌鲁木齐市天汇路49号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杜晖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1748.4（万元）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1748.4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1749.2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乌鲁木齐市第八十一中学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9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对《条例》和实施细则有关变更登记规定执行了资金变更。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2020年开展的主要工作：1.坚持党对教育的全面领导，切实发挥党支部在各项工作中的政治核心作用，把党的政治建设摆在首位，认真学习习近平总书记关于教育提出的新观点。2.抓师德师风建设，以党风带作风，以作风促教风。全员签订了师德承诺，开展了师德师风培训、教育和民生领域专项整治工作，将师德考核列入年度绩效考核中，实行“一票否决”。3.加强党员教师的管理。我校党支部共有在职党员27人，上交入党申请书13人。今年吸收入党积极分子2人，重点发展对象1人。坚持双培养机制，把优秀骨干教师及早地发展到党员队伍中来。同时，关注党员教师的业务培养，努力把他们培育成为学校的中坚力量和业务骨干。4.从抓牢常规管理、抓实教研活动、抓好教师培训等方面入手，不断提升教师队伍建设。一是用好“名校办分校”平台，结合不忘初心调研课题，抓实教研活动和教师队伍提升。在主校区的带领和指导下，本年度一体化开展了四校区联动展示课20节，主校区一体化教学展示课9节。二是抓教学常规管理和教学制度落实。一年来，班子成员和中层共计听推门课182节，检查教案8次，检查作业8次。在管好课堂的同时确保落实学校各项常规教育教学工作顺利开展。三是抓好教师培训。在时间上和经费上予以保障和支持。全年组织教师积极参与各级各类培训共计校级91人，累积2548人次，区级累积8190人次，市级728人次。六五周期继续教育培训工作已完成37人，达到44%。学校启动了书法培训，全校45名教师报名参加并配备了书法用具。四是抓好小课题的研究。本年度，我校共有2个市级课题顺利结题，6个区级课题结题并取得证书，7个课题立项，立项率达100%。5.结合上级主管部门下发的《关于坚决治理教育乱收费，切实减轻义务教育阶段中小学生过重课业负担的通知》要求，层层签订责任书，发放各层面问卷调查，严格控制学生家庭作业量。教务处每学期严格按照上级目录开展征订工作，严格执行一教一辅。征订的教材和教辅必须经过学校党支部委员会审核通过。6.进一步落实习总书记关于“全国思政教师座谈会”重要讲话精神，将思政课做为重点课程，强调落实各学科在每一节课课前三到五分钟，对学生进行思想政治教育，同时选用专职教师及党员教师担任思政课教师，学校党支部书记任思政学科组组长。一是通过大队干部竞选完善少先队队干部管理体系，为做好学生自我管理提供了切实保障。二是开展环保小卫士、礼仪小标兵、纪律优胜班级、卫生优胜班级的常规评比竞赛，选树典型，发挥榜样作用。三是家校合力，加强家庭教育和养成教育。在家长、学校、教师、学生的通力协作下，校园环境卫生、学生行为习惯、文明礼仪等方面都有了明显改善，形成了教师、家长、学生齐抓共管的良好局面。7.在主校区的示范引领下，结合“悦教育”理念，广泛开展了乌市第八十小学四校区“共筑中国梦 唱响新时代 颂歌献祖国”庆国庆中秋活动、庆祝中国少年先锋队成立71周年主题教育活动、“同心抗疫助力创城 逐梦新学期”四校区联动线上开学典礼、传承雷锋精神，弘扬传统文化，树立时代新风——四校区线上主题教育活动、四校区联动“用爱激励中国好少年”网络直播主题队会，通过丰富多彩的教育活动形式，引导学生树立远大志向，促进学生把个人梦想和民族梦想紧密融合在一起。8.在主校区优质资源的辐射引领和指导下，天汇校区城乡少年宫暨社团活动逐步提升，日臻完善。2019年发展到40余个社团，本年度因疫情，一个班一个社团，现开展有29个社团。丰富的城乡少年宫活动让学生在学习与活动中增长了知识与技能，培养了兴趣特长，促进了德智体美劳全面发展。2021年工作思路：1.加强班子建设，强化理论学习，加快工作创新，增强监督执纪，做好党员发展工作。2.德育工作新突破。做好以学生为主体、以主校区“悦文化”融合为依托的德育评价体系，落实好“五育并举”。3.教学工作新跨越。在主校区名师、骨干等优质资源辐射引领下，优化教学管理，不断提高教育教学质量。4.校园硬件再提升。进一步加强红色文化阵地建设，更好发挥阵地育人功能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2019年11月13日至2024年11月13日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19"/>
          <w:rFonts w:hint="default" w:ascii="楷体_GB2312" w:hAnsi="Times New Roman" w:eastAsia="楷体_GB2312" w:cs="楷体_GB2312"/>
          <w:sz w:val="28"/>
          <w:szCs w:val="28"/>
        </w:rPr>
        <w:t>田丰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联系电话：</w:t>
      </w:r>
      <w:r>
        <w:rPr>
          <w:rStyle w:val="19"/>
          <w:rFonts w:hint="default" w:ascii="楷体_GB2312" w:hAnsi="Times New Roman" w:eastAsia="楷体_GB2312" w:cs="楷体_GB2312"/>
          <w:sz w:val="28"/>
          <w:szCs w:val="28"/>
        </w:rPr>
        <w:t xml:space="preserve">15276827108  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19"/>
          <w:rFonts w:hint="default" w:ascii="楷体_GB2312" w:hAnsi="Times New Roman" w:eastAsia="楷体_GB2312" w:cs="楷体_GB2312"/>
          <w:b/>
          <w:bCs/>
          <w:sz w:val="28"/>
          <w:szCs w:val="28"/>
        </w:rPr>
        <w:t>2021年03月01日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B0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autoRedefine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16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18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18">
    <w:name w:val="17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19">
    <w:name w:val="19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20">
    <w:name w:val="20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21">
    <w:name w:val="21"/>
    <w:basedOn w:val="13"/>
    <w:uiPriority w:val="0"/>
    <w:rPr>
      <w:rFonts w:hint="default" w:ascii="Times New Roman" w:hAnsi="Times New Roman" w:cs="Times New Roman"/>
    </w:rPr>
  </w:style>
  <w:style w:type="paragraph" w:customStyle="1" w:styleId="22">
    <w:name w:val="HTML 预设格式 Char"/>
    <w:basedOn w:val="1"/>
    <w:hidden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">
    <w:name w:val="普通(网站) Char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Characters>1930</Characters>
  <Lines>16</Lines>
  <Paragraphs>4</Paragraphs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2024-01-08T08:52:14Z</dcterms:created>
  <dc:creator>雨林木风</dc:creator>
  <cp:lastModifiedBy>峰</cp:lastModifiedBy>
  <dcterms:modified xsi:type="dcterms:W3CDTF">2024-01-08T08:52:25Z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476939032DF6463E8C79C1893AC616F4_13</vt:lpwstr>
  </property>
</Properties>
</file>