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hAnsi="Times New Roman" w:eastAsia="楷体_GB2312" w:cs="楷体_GB2312"/>
          <w:b/>
          <w:bCs/>
          <w:kern w:val="2"/>
          <w:sz w:val="30"/>
          <w:szCs w:val="30"/>
        </w:rPr>
      </w:pPr>
      <w:r>
        <w:rPr>
          <w:rFonts w:hint="eastAsia" w:ascii="楷体_GB2312" w:hAnsi="Times New Roman" w:eastAsia="楷体_GB2312" w:cs="楷体_GB2312"/>
          <w:b/>
          <w:bCs/>
          <w:kern w:val="2"/>
          <w:sz w:val="30"/>
          <w:szCs w:val="30"/>
        </w:rPr>
        <w:t xml:space="preserve">统一社会信用代码   </w:t>
      </w:r>
    </w:p>
    <w:p>
      <w:pPr>
        <w:wordWrap w:val="0"/>
        <w:jc w:val="right"/>
        <w:rPr>
          <w:rFonts w:hint="default" w:ascii="Times New Roman" w:hAnsi="Times New Roman" w:eastAsia="楷体_GB2312" w:cs="Times New Roman"/>
          <w:b/>
          <w:bCs/>
          <w:kern w:val="2"/>
          <w:sz w:val="30"/>
          <w:szCs w:val="30"/>
        </w:rPr>
      </w:pPr>
      <w:r>
        <w:rPr>
          <w:rFonts w:hint="default" w:ascii="Times New Roman" w:hAnsi="Times New Roman" w:eastAsia="楷体_GB2312" w:cs="Times New Roman"/>
          <w:b/>
          <w:bCs/>
          <w:kern w:val="2"/>
          <w:sz w:val="30"/>
          <w:szCs w:val="30"/>
        </w:rPr>
        <w:t xml:space="preserve">   </w:t>
      </w:r>
      <w:r>
        <w:rPr>
          <w:rStyle w:val="15"/>
          <w:rFonts w:hint="default" w:ascii="Times New Roman" w:hAnsi="Times New Roman" w:eastAsia="楷体_GB2312" w:cs="Times New Roman"/>
          <w:b/>
          <w:bCs/>
          <w:sz w:val="30"/>
          <w:szCs w:val="30"/>
        </w:rPr>
        <w:t>126501040577233140</w:t>
      </w:r>
      <w:r>
        <w:rPr>
          <w:rFonts w:hint="default" w:ascii="Times New Roman" w:hAnsi="Times New Roman" w:eastAsia="楷体_GB2312" w:cs="Times New Roman"/>
          <w:b/>
          <w:bCs/>
          <w:kern w:val="2"/>
          <w:sz w:val="30"/>
          <w:szCs w:val="30"/>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黑体" w:cs="Times New Roman"/>
          <w:b/>
          <w:bCs/>
          <w:spacing w:val="40"/>
          <w:kern w:val="2"/>
          <w:sz w:val="52"/>
          <w:szCs w:val="52"/>
        </w:rPr>
      </w:pPr>
      <w:r>
        <w:rPr>
          <w:rFonts w:hint="eastAsia" w:ascii="黑体" w:hAnsi="宋体" w:eastAsia="黑体" w:cs="黑体"/>
          <w:b/>
          <w:bCs/>
          <w:spacing w:val="40"/>
          <w:kern w:val="2"/>
          <w:sz w:val="52"/>
          <w:szCs w:val="52"/>
        </w:rPr>
        <w:t>事业单位法人年度报告书</w:t>
      </w:r>
    </w:p>
    <w:p>
      <w:pPr>
        <w:jc w:val="center"/>
        <w:rPr>
          <w:rFonts w:hint="default" w:ascii="Times New Roman" w:hAnsi="Times New Roman" w:eastAsia="黑体" w:cs="Times New Roman"/>
          <w:b/>
          <w:bCs/>
          <w:spacing w:val="30"/>
          <w:kern w:val="2"/>
          <w:sz w:val="21"/>
          <w:szCs w:val="21"/>
        </w:rPr>
      </w:pPr>
      <w:r>
        <w:rPr>
          <w:rFonts w:hint="default" w:ascii="Times New Roman" w:hAnsi="Times New Roman" w:eastAsia="黑体" w:cs="Times New Roman"/>
          <w:b/>
          <w:bCs/>
          <w:spacing w:val="30"/>
          <w:kern w:val="2"/>
          <w:sz w:val="21"/>
          <w:szCs w:val="21"/>
        </w:rPr>
        <w:t xml:space="preserve"> </w:t>
      </w:r>
    </w:p>
    <w:p>
      <w:pPr>
        <w:jc w:val="center"/>
        <w:rPr>
          <w:rFonts w:hint="default" w:ascii="Times New Roman" w:hAnsi="Times New Roman" w:eastAsia="楷体_GB2312" w:cs="Times New Roman"/>
          <w:b/>
          <w:bCs/>
          <w:spacing w:val="30"/>
          <w:kern w:val="2"/>
          <w:sz w:val="36"/>
          <w:szCs w:val="36"/>
        </w:rPr>
      </w:pPr>
      <w:r>
        <w:rPr>
          <w:rFonts w:hint="eastAsia" w:ascii="楷体_GB2312" w:hAnsi="Times New Roman" w:eastAsia="楷体_GB2312" w:cs="楷体_GB2312"/>
          <w:b/>
          <w:bCs/>
          <w:spacing w:val="30"/>
          <w:kern w:val="2"/>
          <w:sz w:val="36"/>
          <w:szCs w:val="36"/>
        </w:rPr>
        <w:t>（</w:t>
      </w:r>
      <w:r>
        <w:rPr>
          <w:rFonts w:hint="default" w:ascii="Times New Roman" w:hAnsi="Times New Roman" w:eastAsia="楷体_GB2312" w:cs="Times New Roman"/>
          <w:b/>
          <w:bCs/>
          <w:spacing w:val="30"/>
          <w:kern w:val="2"/>
          <w:sz w:val="36"/>
          <w:szCs w:val="36"/>
        </w:rPr>
        <w:t xml:space="preserve">  </w:t>
      </w:r>
      <w:r>
        <w:rPr>
          <w:rStyle w:val="15"/>
          <w:rFonts w:hint="default" w:ascii="Times New Roman" w:hAnsi="Times New Roman" w:eastAsia="楷体_GB2312" w:cs="Times New Roman"/>
          <w:b/>
          <w:bCs/>
          <w:sz w:val="30"/>
          <w:szCs w:val="30"/>
        </w:rPr>
        <w:t>2022</w:t>
      </w:r>
      <w:r>
        <w:rPr>
          <w:rFonts w:hint="default" w:ascii="Times New Roman" w:hAnsi="Times New Roman" w:eastAsia="楷体_GB2312" w:cs="Times New Roman"/>
          <w:b/>
          <w:bCs/>
          <w:spacing w:val="30"/>
          <w:kern w:val="2"/>
          <w:sz w:val="36"/>
          <w:szCs w:val="36"/>
        </w:rPr>
        <w:t xml:space="preserve">  </w:t>
      </w:r>
      <w:r>
        <w:rPr>
          <w:rFonts w:hint="eastAsia" w:ascii="楷体_GB2312" w:hAnsi="Times New Roman" w:eastAsia="楷体_GB2312" w:cs="楷体_GB2312"/>
          <w:b/>
          <w:bCs/>
          <w:spacing w:val="30"/>
          <w:kern w:val="2"/>
          <w:sz w:val="36"/>
          <w:szCs w:val="36"/>
        </w:rPr>
        <w:t>年度）</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shd w:val="clear"/>
            <w:vAlign w:val="bottom"/>
          </w:tcPr>
          <w:p>
            <w:pPr>
              <w:jc w:val="distribute"/>
              <w:rPr>
                <w:rFonts w:hint="default" w:ascii="Times New Roman" w:hAnsi="Times New Roman" w:eastAsia="宋体" w:cs="Times New Roman"/>
                <w:kern w:val="2"/>
                <w:sz w:val="21"/>
                <w:szCs w:val="21"/>
                <w:bdr w:val="none" w:color="auto" w:sz="0" w:space="0"/>
              </w:rPr>
            </w:pPr>
            <w:r>
              <w:rPr>
                <w:rStyle w:val="17"/>
                <w:rFonts w:hint="eastAsia" w:ascii="黑体" w:hAnsi="宋体" w:eastAsia="黑体" w:cs="黑体"/>
                <w:b/>
                <w:bCs/>
                <w:sz w:val="36"/>
                <w:szCs w:val="36"/>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hAnsi="Times New Roman" w:eastAsia="楷体_GB2312" w:cs="楷体_GB2312"/>
                <w:kern w:val="2"/>
                <w:sz w:val="32"/>
                <w:szCs w:val="32"/>
                <w:bdr w:val="none" w:color="auto" w:sz="0" w:space="0"/>
              </w:rPr>
            </w:pPr>
            <w:r>
              <w:rPr>
                <w:rStyle w:val="23"/>
                <w:rFonts w:hint="eastAsia" w:ascii="楷体_GB2312" w:hAnsi="Times New Roman" w:eastAsia="楷体_GB2312" w:cs="楷体_GB2312"/>
                <w:sz w:val="28"/>
                <w:szCs w:val="28"/>
                <w:bdr w:val="none" w:color="auto" w:sz="0" w:space="0"/>
              </w:rPr>
              <w:t>乌鲁木齐高新技术产业开发区（乌鲁木齐市新市区）政府投资审计中心</w:t>
            </w:r>
          </w:p>
        </w:tc>
      </w:tr>
    </w:tbl>
    <w:p>
      <w:pPr>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tcBorders>
              <w:top w:val="nil"/>
              <w:left w:val="nil"/>
              <w:bottom w:val="nil"/>
              <w:right w:val="nil"/>
            </w:tcBorders>
            <w:shd w:val="clear"/>
            <w:vAlign w:val="bottom"/>
          </w:tcPr>
          <w:p>
            <w:pPr>
              <w:jc w:val="distribute"/>
              <w:rPr>
                <w:rFonts w:hint="default" w:ascii="Times New Roman" w:hAnsi="Times New Roman" w:eastAsia="宋体" w:cs="Times New Roman"/>
                <w:kern w:val="2"/>
                <w:sz w:val="21"/>
                <w:szCs w:val="21"/>
                <w:bdr w:val="none" w:color="auto" w:sz="0" w:space="0"/>
              </w:rPr>
            </w:pPr>
            <w:r>
              <w:rPr>
                <w:rStyle w:val="17"/>
                <w:rFonts w:hint="eastAsia" w:ascii="黑体" w:hAnsi="宋体" w:eastAsia="黑体" w:cs="黑体"/>
                <w:b/>
                <w:bCs/>
                <w:sz w:val="36"/>
                <w:szCs w:val="36"/>
                <w:bdr w:val="none" w:color="auto" w:sz="0" w:space="0"/>
              </w:rPr>
              <w:t>法</w:t>
            </w:r>
            <w:r>
              <w:rPr>
                <w:rStyle w:val="17"/>
                <w:rFonts w:hint="eastAsia" w:ascii="黑体" w:hAnsi="宋体" w:eastAsia="黑体" w:cs="黑体"/>
                <w:b/>
                <w:bCs/>
                <w:spacing w:val="30"/>
                <w:sz w:val="36"/>
                <w:szCs w:val="36"/>
                <w:bdr w:val="none" w:color="auto" w:sz="0" w:space="0"/>
              </w:rPr>
              <w:t>定代表</w:t>
            </w:r>
            <w:r>
              <w:rPr>
                <w:rStyle w:val="17"/>
                <w:rFonts w:hint="eastAsia" w:ascii="黑体" w:hAnsi="宋体" w:eastAsia="黑体" w:cs="黑体"/>
                <w:b/>
                <w:bCs/>
                <w:sz w:val="36"/>
                <w:szCs w:val="36"/>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rFonts w:hint="default" w:ascii="Times New Roman" w:hAnsi="Times New Roman" w:eastAsia="宋体" w:cs="Times New Roman"/>
                <w:kern w:val="0"/>
                <w:sz w:val="20"/>
                <w:szCs w:val="20"/>
                <w:bdr w:val="none" w:color="auto" w:sz="0" w:space="0"/>
              </w:rPr>
            </w:pPr>
          </w:p>
        </w:tc>
      </w:tr>
    </w:tbl>
    <w:p>
      <w:pPr>
        <w:ind w:left="0" w:firstLine="723" w:firstLineChars="300"/>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p>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pPr>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国家事业单位登记管理局制</w:t>
      </w:r>
    </w:p>
    <w:p>
      <w:pPr>
        <w:jc w:val="center"/>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《事业</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单位</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法人</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证书》</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登载</w:t>
            </w:r>
          </w:p>
          <w:p>
            <w:pPr>
              <w:jc w:val="center"/>
              <w:rPr>
                <w:rFonts w:hint="default" w:ascii="Times New Roman" w:hAnsi="Times New Roman" w:eastAsia="楷体_GB2312" w:cs="Times New Roman"/>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事项</w:t>
            </w:r>
          </w:p>
        </w:tc>
        <w:tc>
          <w:tcPr>
            <w:tcW w:w="2031" w:type="dxa"/>
            <w:tcBorders>
              <w:top w:val="single" w:color="auto" w:sz="12"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单位名称</w:t>
            </w:r>
          </w:p>
        </w:tc>
        <w:tc>
          <w:tcPr>
            <w:tcW w:w="5950" w:type="dxa"/>
            <w:gridSpan w:val="3"/>
            <w:tcBorders>
              <w:top w:val="single" w:color="auto" w:sz="12" w:space="0"/>
              <w:left w:val="nil"/>
              <w:bottom w:val="single" w:color="auto" w:sz="4" w:space="0"/>
              <w:right w:val="single" w:color="auto" w:sz="12" w:space="0"/>
            </w:tcBorders>
            <w:shd w:val="clear"/>
            <w:vAlign w:val="center"/>
          </w:tcPr>
          <w:p>
            <w:pPr>
              <w:spacing w:line="320" w:lineRule="exact"/>
              <w:jc w:val="left"/>
              <w:rPr>
                <w:rFonts w:hint="eastAsia" w:ascii="楷体_GB2312" w:hAnsi="Times New Roman" w:eastAsia="楷体_GB2312" w:cs="楷体_GB2312"/>
                <w:kern w:val="2"/>
                <w:sz w:val="28"/>
                <w:szCs w:val="28"/>
                <w:bdr w:val="none" w:color="auto" w:sz="0" w:space="0"/>
              </w:rPr>
            </w:pPr>
            <w:r>
              <w:rPr>
                <w:rStyle w:val="23"/>
                <w:rFonts w:hint="eastAsia" w:ascii="楷体_GB2312" w:hAnsi="Times New Roman" w:eastAsia="楷体_GB2312" w:cs="楷体_GB2312"/>
                <w:sz w:val="28"/>
                <w:szCs w:val="28"/>
                <w:bdr w:val="none" w:color="auto" w:sz="0" w:space="0"/>
              </w:rPr>
              <w:t>乌鲁木齐高新技术产业开发区（乌鲁木齐市新市区）政府投资审计中心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宗旨和</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业务范围</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eastAsia" w:ascii="楷体_GB2312" w:hAnsi="Times New Roman" w:eastAsia="楷体_GB2312" w:cs="楷体_GB2312"/>
                <w:kern w:val="2"/>
                <w:sz w:val="28"/>
                <w:szCs w:val="28"/>
                <w:bdr w:val="none" w:color="auto" w:sz="0" w:space="0"/>
              </w:rPr>
            </w:pPr>
            <w:r>
              <w:rPr>
                <w:rStyle w:val="23"/>
                <w:rFonts w:hint="eastAsia" w:ascii="楷体_GB2312" w:hAnsi="Times New Roman" w:eastAsia="楷体_GB2312" w:cs="楷体_GB2312"/>
                <w:sz w:val="28"/>
                <w:szCs w:val="28"/>
                <w:bdr w:val="none" w:color="auto" w:sz="0" w:space="0"/>
              </w:rPr>
              <w:t>受审计机关委托开展政府投资项目审计工作；协助审计机关开展专项审计和审计调查。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住</w:t>
            </w:r>
            <w:r>
              <w:rPr>
                <w:rFonts w:hint="default" w:ascii="Times New Roman" w:hAnsi="Times New Roman" w:eastAsia="楷体_GB2312" w:cs="Times New Roman"/>
                <w:b/>
                <w:bCs/>
                <w:kern w:val="2"/>
                <w:sz w:val="32"/>
                <w:szCs w:val="32"/>
                <w:bdr w:val="none" w:color="auto" w:sz="0" w:space="0"/>
              </w:rPr>
              <w:t xml:space="preserve">    </w:t>
            </w:r>
            <w:r>
              <w:rPr>
                <w:rFonts w:hint="eastAsia" w:ascii="楷体_GB2312" w:hAnsi="Times New Roman" w:eastAsia="楷体_GB2312" w:cs="楷体_GB2312"/>
                <w:b/>
                <w:bCs/>
                <w:kern w:val="2"/>
                <w:sz w:val="32"/>
                <w:szCs w:val="32"/>
                <w:bdr w:val="none" w:color="auto" w:sz="0" w:space="0"/>
              </w:rPr>
              <w:t>所</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23"/>
                <w:rFonts w:hint="eastAsia" w:ascii="楷体_GB2312" w:hAnsi="Times New Roman" w:eastAsia="楷体_GB2312" w:cs="楷体_GB2312"/>
                <w:sz w:val="28"/>
                <w:szCs w:val="28"/>
                <w:bdr w:val="none" w:color="auto" w:sz="0" w:space="0"/>
              </w:rPr>
              <w:t>新疆维吾尔自治区乌鲁木齐市四平路2288号创新广场A座1519室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法定代表人</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23"/>
                <w:rFonts w:hint="eastAsia" w:ascii="楷体_GB2312" w:hAnsi="Times New Roman" w:eastAsia="楷体_GB2312" w:cs="楷体_GB2312"/>
                <w:sz w:val="28"/>
                <w:szCs w:val="28"/>
                <w:bdr w:val="none" w:color="auto" w:sz="0" w:space="0"/>
              </w:rPr>
              <w:t>高新丽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开办资金</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eastAsia" w:ascii="楷体_GB2312" w:hAnsi="Times New Roman" w:eastAsia="楷体_GB2312" w:cs="楷体_GB2312"/>
                <w:kern w:val="2"/>
                <w:sz w:val="28"/>
                <w:szCs w:val="28"/>
                <w:bdr w:val="none" w:color="auto" w:sz="0" w:space="0"/>
              </w:rPr>
            </w:pPr>
            <w:r>
              <w:rPr>
                <w:rStyle w:val="23"/>
                <w:rFonts w:hint="eastAsia" w:ascii="楷体_GB2312" w:hAnsi="Times New Roman" w:eastAsia="楷体_GB2312" w:cs="楷体_GB2312"/>
                <w:sz w:val="28"/>
                <w:szCs w:val="28"/>
                <w:bdr w:val="none" w:color="auto" w:sz="0" w:space="0"/>
              </w:rPr>
              <w:t>8.26（万元）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经费来源</w:t>
            </w:r>
          </w:p>
        </w:tc>
        <w:tc>
          <w:tcPr>
            <w:tcW w:w="5950" w:type="dxa"/>
            <w:gridSpan w:val="3"/>
            <w:tcBorders>
              <w:top w:val="single" w:color="auto" w:sz="4" w:space="0"/>
              <w:left w:val="nil"/>
              <w:bottom w:val="single" w:color="auto" w:sz="4" w:space="0"/>
              <w:right w:val="single" w:color="auto" w:sz="12" w:space="0"/>
            </w:tcBorders>
            <w:shd w:val="clear"/>
            <w:vAlign w:val="center"/>
          </w:tcPr>
          <w:p>
            <w:pPr>
              <w:jc w:val="left"/>
              <w:rPr>
                <w:rFonts w:hint="default" w:ascii="Times New Roman" w:hAnsi="Times New Roman" w:eastAsia="宋体" w:cs="Times New Roman"/>
                <w:kern w:val="2"/>
                <w:sz w:val="32"/>
                <w:szCs w:val="32"/>
                <w:bdr w:val="none" w:color="auto" w:sz="0" w:space="0"/>
              </w:rPr>
            </w:pPr>
            <w:r>
              <w:rPr>
                <w:rStyle w:val="23"/>
                <w:rFonts w:hint="eastAsia" w:ascii="楷体_GB2312" w:hAnsi="Times New Roman" w:eastAsia="楷体_GB2312" w:cs="楷体_GB2312"/>
                <w:sz w:val="28"/>
                <w:szCs w:val="28"/>
                <w:bdr w:val="none" w:color="auto" w:sz="0" w:space="0"/>
              </w:rPr>
              <w:t>财政补助（全额预算）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举办单位</w:t>
            </w:r>
          </w:p>
        </w:tc>
        <w:tc>
          <w:tcPr>
            <w:tcW w:w="5950" w:type="dxa"/>
            <w:gridSpan w:val="3"/>
            <w:tcBorders>
              <w:top w:val="single" w:color="auto" w:sz="4" w:space="0"/>
              <w:left w:val="nil"/>
              <w:bottom w:val="single" w:color="auto" w:sz="4" w:space="0"/>
              <w:right w:val="single" w:color="auto" w:sz="12" w:space="0"/>
            </w:tcBorders>
            <w:shd w:val="clear"/>
            <w:vAlign w:val="center"/>
          </w:tcPr>
          <w:p>
            <w:pPr>
              <w:jc w:val="left"/>
              <w:rPr>
                <w:rFonts w:hint="default" w:ascii="Times New Roman" w:hAnsi="Times New Roman" w:eastAsia="宋体" w:cs="Times New Roman"/>
                <w:kern w:val="2"/>
                <w:sz w:val="21"/>
                <w:szCs w:val="21"/>
                <w:bdr w:val="none" w:color="auto" w:sz="0" w:space="0"/>
              </w:rPr>
            </w:pPr>
            <w:r>
              <w:rPr>
                <w:rStyle w:val="23"/>
                <w:rFonts w:hint="eastAsia" w:ascii="楷体_GB2312" w:hAnsi="Times New Roman" w:eastAsia="楷体_GB2312" w:cs="楷体_GB2312"/>
                <w:sz w:val="28"/>
                <w:szCs w:val="28"/>
                <w:bdr w:val="none" w:color="auto" w:sz="0" w:space="0"/>
              </w:rPr>
              <w:t>乌鲁木齐高新技术产业开发区（乌鲁木齐市新市区）审计局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nil"/>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资产</w:t>
            </w:r>
          </w:p>
          <w:p>
            <w:pPr>
              <w:keepNext w:val="0"/>
              <w:keepLines w:val="0"/>
              <w:widowControl/>
              <w:suppressLineNumbers w:val="0"/>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损益</w:t>
            </w:r>
          </w:p>
          <w:p>
            <w:pPr>
              <w:keepNext w:val="0"/>
              <w:keepLines w:val="0"/>
              <w:widowControl/>
              <w:suppressLineNumbers w:val="0"/>
              <w:jc w:val="center"/>
              <w:rPr>
                <w:rFonts w:hint="default" w:ascii="Times New Roman" w:hAnsi="Times New Roman" w:eastAsia="楷体_GB2312" w:cs="Times New Roman"/>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情况</w:t>
            </w:r>
          </w:p>
        </w:tc>
        <w:tc>
          <w:tcPr>
            <w:tcW w:w="7981" w:type="dxa"/>
            <w:gridSpan w:val="4"/>
            <w:tcBorders>
              <w:top w:val="single" w:color="auto" w:sz="4" w:space="0"/>
              <w:left w:val="nil"/>
              <w:bottom w:val="single" w:color="auto" w:sz="4" w:space="0"/>
              <w:right w:val="single" w:color="auto" w:sz="12"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1"/>
                <w:rFonts w:hint="eastAsia" w:ascii="楷体_GB2312" w:hAnsi="Times New Roman" w:eastAsia="楷体_GB2312" w:cs="楷体_GB2312"/>
                <w:sz w:val="32"/>
                <w:szCs w:val="32"/>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1"/>
                <w:rFonts w:hint="eastAsia" w:ascii="楷体_GB2312" w:hAnsi="Times New Roman" w:eastAsia="楷体_GB2312" w:cs="楷体_GB2312"/>
                <w:sz w:val="32"/>
                <w:szCs w:val="32"/>
                <w:bdr w:val="none" w:color="auto" w:sz="0" w:space="0"/>
              </w:rPr>
              <w:t>年初数（万元）</w:t>
            </w:r>
          </w:p>
        </w:tc>
        <w:tc>
          <w:tcPr>
            <w:tcW w:w="4154" w:type="dxa"/>
            <w:gridSpan w:val="2"/>
            <w:tcBorders>
              <w:top w:val="single" w:color="auto" w:sz="4" w:space="0"/>
              <w:left w:val="nil"/>
              <w:bottom w:val="single" w:color="auto" w:sz="4" w:space="0"/>
              <w:right w:val="single" w:color="auto" w:sz="12"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1"/>
                <w:rFonts w:hint="eastAsia" w:ascii="楷体_GB2312" w:hAnsi="Times New Roman" w:eastAsia="楷体_GB2312" w:cs="楷体_GB2312"/>
                <w:sz w:val="32"/>
                <w:szCs w:val="32"/>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1"/>
                <w:rFonts w:hint="default" w:ascii="Times New Roman" w:hAnsi="Times New Roman" w:eastAsia="楷体_GB2312" w:cs="Times New Roman"/>
                <w:sz w:val="32"/>
                <w:szCs w:val="32"/>
                <w:bdr w:val="none" w:color="auto" w:sz="0" w:space="0"/>
              </w:rPr>
              <w:t>8.26</w:t>
            </w:r>
          </w:p>
        </w:tc>
        <w:tc>
          <w:tcPr>
            <w:tcW w:w="4154" w:type="dxa"/>
            <w:gridSpan w:val="2"/>
            <w:tcBorders>
              <w:top w:val="single" w:color="auto" w:sz="4" w:space="0"/>
              <w:left w:val="nil"/>
              <w:bottom w:val="single" w:color="auto" w:sz="4" w:space="0"/>
              <w:right w:val="single" w:color="auto" w:sz="12" w:space="0"/>
            </w:tcBorders>
            <w:shd w:val="clear"/>
            <w:vAlign w:val="top"/>
          </w:tcPr>
          <w:p>
            <w:pPr>
              <w:jc w:val="center"/>
              <w:rPr>
                <w:rFonts w:hint="default" w:ascii="Times New Roman" w:hAnsi="Times New Roman" w:eastAsia="宋体" w:cs="Times New Roman"/>
                <w:kern w:val="2"/>
                <w:sz w:val="21"/>
                <w:szCs w:val="21"/>
                <w:bdr w:val="none" w:color="auto" w:sz="0" w:space="0"/>
              </w:rPr>
            </w:pPr>
            <w:r>
              <w:rPr>
                <w:rStyle w:val="23"/>
                <w:rFonts w:hint="default" w:ascii="Times New Roman" w:hAnsi="Times New Roman" w:eastAsia="楷体_GB2312" w:cs="Times New Roman"/>
                <w:sz w:val="32"/>
                <w:szCs w:val="32"/>
                <w:bdr w:val="none" w:color="auto" w:sz="0" w:space="0"/>
              </w:rPr>
              <w:t>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hAnsi="Times New Roman" w:eastAsia="楷体_GB2312" w:cs="楷体_GB2312"/>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网上名称</w:t>
            </w:r>
          </w:p>
        </w:tc>
        <w:tc>
          <w:tcPr>
            <w:tcW w:w="3827" w:type="dxa"/>
            <w:gridSpan w:val="2"/>
            <w:tcBorders>
              <w:top w:val="single" w:color="auto" w:sz="4" w:space="0"/>
              <w:left w:val="nil"/>
              <w:bottom w:val="single" w:color="auto" w:sz="4" w:space="0"/>
              <w:right w:val="single" w:color="auto" w:sz="4" w:space="0"/>
            </w:tcBorders>
            <w:shd w:val="clear"/>
            <w:vAlign w:val="center"/>
          </w:tcPr>
          <w:p>
            <w:pPr>
              <w:spacing w:line="0" w:lineRule="atLeast"/>
              <w:jc w:val="left"/>
              <w:rPr>
                <w:rFonts w:hint="eastAsia" w:ascii="楷体_GB2312" w:hAnsi="Times New Roman" w:eastAsia="楷体_GB2312" w:cs="楷体_GB2312"/>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乌鲁木齐高新技术产业开发区（乌鲁木齐市新市区）政府投资审计中心</w:t>
            </w:r>
          </w:p>
        </w:tc>
        <w:tc>
          <w:tcPr>
            <w:tcW w:w="1702" w:type="dxa"/>
            <w:tcBorders>
              <w:top w:val="single" w:color="auto" w:sz="4" w:space="0"/>
              <w:left w:val="nil"/>
              <w:bottom w:val="single" w:color="auto" w:sz="4" w:space="0"/>
              <w:right w:val="single" w:color="auto" w:sz="4" w:space="0"/>
            </w:tcBorders>
            <w:shd w:val="clear"/>
            <w:vAlign w:val="center"/>
          </w:tcPr>
          <w:p>
            <w:pPr>
              <w:jc w:val="center"/>
              <w:rPr>
                <w:rFonts w:hint="eastAsia" w:ascii="楷体_GB2312" w:hAnsi="Times New Roman" w:eastAsia="楷体_GB2312" w:cs="楷体_GB2312"/>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从业人数</w:t>
            </w:r>
          </w:p>
        </w:tc>
        <w:tc>
          <w:tcPr>
            <w:tcW w:w="2452" w:type="dxa"/>
            <w:tcBorders>
              <w:top w:val="single" w:color="auto" w:sz="4" w:space="0"/>
              <w:left w:val="nil"/>
              <w:bottom w:val="single" w:color="auto" w:sz="4" w:space="0"/>
              <w:right w:val="single" w:color="auto" w:sz="12" w:space="0"/>
            </w:tcBorders>
            <w:shd w:val="clear"/>
            <w:vAlign w:val="center"/>
          </w:tcPr>
          <w:p>
            <w:pPr>
              <w:spacing w:line="0" w:lineRule="atLeast"/>
              <w:jc w:val="left"/>
              <w:rPr>
                <w:rFonts w:hint="eastAsia" w:ascii="楷体_GB2312" w:hAnsi="Times New Roman" w:eastAsia="楷体_GB2312" w:cs="楷体_GB2312"/>
                <w:kern w:val="2"/>
                <w:sz w:val="32"/>
                <w:szCs w:val="32"/>
                <w:bdr w:val="none" w:color="auto" w:sz="0" w:space="0"/>
              </w:rPr>
            </w:pPr>
            <w:r>
              <w:rPr>
                <w:rStyle w:val="21"/>
                <w:rFonts w:hint="default" w:ascii="Times New Roman" w:hAnsi="Times New Roman" w:eastAsia="楷体_GB2312" w:cs="Times New Roman"/>
                <w:sz w:val="32"/>
                <w:szCs w:val="32"/>
                <w:bdr w:val="none" w:color="auto" w:sz="0" w:space="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对《条</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例》和</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实施细</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则有关</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变更登</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记规定</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的执行</w:t>
            </w:r>
          </w:p>
          <w:p>
            <w:pPr>
              <w:jc w:val="center"/>
              <w:rPr>
                <w:rFonts w:hint="default" w:ascii="Times New Roman" w:hAnsi="Times New Roman" w:eastAsia="楷体_GB2312" w:cs="Times New Roman"/>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xml:space="preserve">  </w:t>
            </w:r>
            <w:r>
              <w:rPr>
                <w:rFonts w:hint="eastAsia" w:ascii="楷体_GB2312" w:hAnsi="Times New Roman" w:eastAsia="楷体_GB2312" w:cs="楷体_GB2312"/>
                <w:b/>
                <w:bCs/>
                <w:kern w:val="2"/>
                <w:sz w:val="32"/>
                <w:szCs w:val="32"/>
                <w:bdr w:val="none" w:color="auto" w:sz="0" w:space="0"/>
              </w:rPr>
              <w:t>况</w:t>
            </w:r>
          </w:p>
        </w:tc>
        <w:tc>
          <w:tcPr>
            <w:tcW w:w="7981" w:type="dxa"/>
            <w:gridSpan w:val="4"/>
            <w:tcBorders>
              <w:top w:val="single" w:color="auto" w:sz="12" w:space="0"/>
              <w:left w:val="nil"/>
              <w:bottom w:val="single" w:color="auto" w:sz="4" w:space="0"/>
              <w:right w:val="single" w:color="auto" w:sz="12" w:space="0"/>
            </w:tcBorders>
            <w:shd w:val="clear"/>
            <w:vAlign w:val="top"/>
          </w:tcPr>
          <w:p>
            <w:pPr>
              <w:spacing w:line="320" w:lineRule="exact"/>
              <w:rPr>
                <w:rFonts w:hint="eastAsia" w:ascii="楷体_GB2312" w:hAnsi="Times New Roman" w:eastAsia="楷体_GB2312" w:cs="楷体_GB2312"/>
                <w:kern w:val="2"/>
                <w:sz w:val="28"/>
                <w:szCs w:val="28"/>
                <w:bdr w:val="none" w:color="auto" w:sz="0" w:space="0"/>
              </w:rPr>
            </w:pPr>
            <w:r>
              <w:rPr>
                <w:rStyle w:val="23"/>
                <w:rFonts w:hint="eastAsia" w:ascii="楷体_GB2312" w:hAnsi="Times New Roman" w:eastAsia="楷体_GB2312" w:cs="楷体_GB2312"/>
                <w:sz w:val="28"/>
                <w:szCs w:val="28"/>
                <w:bdr w:val="none" w:color="auto" w:sz="0" w:space="0"/>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开</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展</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业</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务</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活</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动</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情</w:t>
            </w:r>
          </w:p>
          <w:p>
            <w:pPr>
              <w:jc w:val="center"/>
              <w:rPr>
                <w:rFonts w:hint="default" w:ascii="Times New Roman" w:hAnsi="Times New Roman" w:eastAsia="宋体" w:cs="Times New Roman"/>
                <w:kern w:val="2"/>
                <w:sz w:val="21"/>
                <w:szCs w:val="21"/>
                <w:u w:val="single"/>
                <w:bdr w:val="none" w:color="auto" w:sz="0" w:space="0"/>
              </w:rPr>
            </w:pPr>
            <w:r>
              <w:rPr>
                <w:rFonts w:hint="eastAsia"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hAnsi="Times New Roman" w:eastAsia="楷体_GB2312" w:cs="楷体_GB2312"/>
                <w:kern w:val="2"/>
                <w:sz w:val="28"/>
                <w:szCs w:val="28"/>
                <w:bdr w:val="none" w:color="auto" w:sz="0" w:space="0"/>
              </w:rPr>
            </w:pPr>
            <w:r>
              <w:rPr>
                <w:rStyle w:val="23"/>
                <w:rFonts w:hint="eastAsia" w:ascii="楷体_GB2312" w:hAnsi="Times New Roman" w:eastAsia="楷体_GB2312" w:cs="楷体_GB2312"/>
                <w:sz w:val="28"/>
                <w:szCs w:val="28"/>
                <w:bdr w:val="none" w:color="auto" w:sz="0" w:space="0"/>
              </w:rPr>
              <w:t>高新区（新市区）政府投资审计中心始终深入贯彻执行《审计法》、国家法律法规规章、国家审计准则和指南并监督执行。2022年主要开展以下业务： 一、负责乌鲁木齐高新区（新市区）管委会（区人民政府）投资和以管委会（区人民政府）投资为主的建设项目的预算执行情况和决算 进一步加强政府投资项目审计工作，规范政府投资项目审计行为，提升政府投资审计质量和成效，充分发挥审计保障国家经济社会健康运行的</w:t>
            </w:r>
            <w:r>
              <w:rPr>
                <w:rStyle w:val="23"/>
                <w:rFonts w:hint="default" w:ascii="Times New Roman" w:hAnsi="Times New Roman" w:eastAsia="楷体_GB2312" w:cs="Times New Roman"/>
                <w:sz w:val="28"/>
                <w:szCs w:val="28"/>
                <w:bdr w:val="none" w:color="auto" w:sz="0" w:space="0"/>
              </w:rPr>
              <w:t>“</w:t>
            </w:r>
            <w:r>
              <w:rPr>
                <w:rStyle w:val="23"/>
                <w:rFonts w:hint="eastAsia" w:ascii="楷体_GB2312" w:hAnsi="Times New Roman" w:eastAsia="楷体_GB2312" w:cs="楷体_GB2312"/>
                <w:sz w:val="28"/>
                <w:szCs w:val="28"/>
                <w:bdr w:val="none" w:color="auto" w:sz="0" w:space="0"/>
              </w:rPr>
              <w:t>免疫系统</w:t>
            </w:r>
            <w:r>
              <w:rPr>
                <w:rStyle w:val="23"/>
                <w:rFonts w:hint="default" w:ascii="Times New Roman" w:hAnsi="Times New Roman" w:eastAsia="楷体_GB2312" w:cs="Times New Roman"/>
                <w:sz w:val="28"/>
                <w:szCs w:val="28"/>
                <w:bdr w:val="none" w:color="auto" w:sz="0" w:space="0"/>
              </w:rPr>
              <w:t>”</w:t>
            </w:r>
            <w:r>
              <w:rPr>
                <w:rStyle w:val="23"/>
                <w:rFonts w:hint="eastAsia" w:ascii="楷体_GB2312" w:hAnsi="Times New Roman" w:eastAsia="楷体_GB2312" w:cs="楷体_GB2312"/>
                <w:sz w:val="28"/>
                <w:szCs w:val="28"/>
                <w:bdr w:val="none" w:color="auto" w:sz="0" w:space="0"/>
              </w:rPr>
              <w:t>功能。对以财政性资金、各项政府性专项资金、政府统一借贷的资金及县属国有企事业单位、国有控股企业投资或者融资等为主要资金来源的基本建设项目和技术改造项目，实施审计和专项审计调查。在充分发挥政府投资项目的社会效益和经济效益，促进科学决策，在维护国家财政经济秩序、提高财政资金使用效益、促进廉政建设、保障经济社会健康发展等方面发挥了重要作用。 二、制定并组织实施工程领域审计工作 2022年共完成了乌鲁木齐高新区（新市区）2017年美丽乡村建设PPP项目（A包）；高新区中小学基础设施PPP项目3088路九年一贯制学校工程项目；乌鲁木齐高新区（新市区）2016年园林绿化PPP项目等24个政府投资项目的审核工作，审核资金6.78亿元，核减资金0.68亿元，核减率10.07%。 三、提升能力，强化风险防控，不断提升政府投资审计执法水平 提升审计工作人员能力水平是做好审计工作的关键。强化审计风险防控是做好审计工作的根本保障。近年来，我们不断加强教育培训学习工作，以提升审计工作人员业务素质；不断加强政府投资项目风险防控工作，来加强政府投资项目审计领域的党风廉政建设工作；不断规范审计处理工作，提升政府投资审计工作执法水平。一是强化学习教育，提升工作人员业务素质。通过积极派人员参加自治区审计机关组织的业务培训班；加强与周边区县审计机关的交流等方面的工作，不断提升了审计工作人员的业务能力水平。二是严格落实党风廉政建设责任制，确保政府投资审计领域风险防控工作。坚持每年召开会议安排党风廉政建设工作责任制度，签订党风廉政建设责任书。严格落实审前廉政谈话制度。加强中央八项规定精神和审计工作纪律的监督检查工作，不断强化对干部职工的党纪法规学习工作，形成了</w:t>
            </w:r>
            <w:r>
              <w:rPr>
                <w:rStyle w:val="23"/>
                <w:rFonts w:hint="default" w:ascii="Times New Roman" w:hAnsi="Times New Roman" w:eastAsia="楷体_GB2312" w:cs="Times New Roman"/>
                <w:sz w:val="28"/>
                <w:szCs w:val="28"/>
                <w:bdr w:val="none" w:color="auto" w:sz="0" w:space="0"/>
              </w:rPr>
              <w:t>“</w:t>
            </w:r>
            <w:r>
              <w:rPr>
                <w:rStyle w:val="23"/>
                <w:rFonts w:hint="eastAsia" w:ascii="楷体_GB2312" w:hAnsi="Times New Roman" w:eastAsia="楷体_GB2312" w:cs="楷体_GB2312"/>
                <w:sz w:val="28"/>
                <w:szCs w:val="28"/>
                <w:bdr w:val="none" w:color="auto" w:sz="0" w:space="0"/>
              </w:rPr>
              <w:t>提醒、责任、监督</w:t>
            </w:r>
            <w:r>
              <w:rPr>
                <w:rStyle w:val="23"/>
                <w:rFonts w:hint="default" w:ascii="Times New Roman" w:hAnsi="Times New Roman" w:eastAsia="楷体_GB2312" w:cs="Times New Roman"/>
                <w:sz w:val="28"/>
                <w:szCs w:val="28"/>
                <w:bdr w:val="none" w:color="auto" w:sz="0" w:space="0"/>
              </w:rPr>
              <w:t>”</w:t>
            </w:r>
            <w:r>
              <w:rPr>
                <w:rStyle w:val="23"/>
                <w:rFonts w:hint="eastAsia" w:ascii="楷体_GB2312" w:hAnsi="Times New Roman" w:eastAsia="楷体_GB2312" w:cs="楷体_GB2312"/>
                <w:sz w:val="28"/>
                <w:szCs w:val="28"/>
                <w:bdr w:val="none" w:color="auto" w:sz="0" w:space="0"/>
              </w:rPr>
              <w:t>的政府投资风险防控机制，确保了政府投资工作中的党风廉政建设工作。 四、存在的问题和下一步计划 （一）2022年高新区（新市区）政府投资审计中心的投资审计工作成效显著，节约了大量的财政资金。但仍然存在现有人员专业结构不理想，政府投资审计工作任务繁重，审计人员压力越来越大，承担的风险和责任也相应增加等问题。 （二）2023年高新区（新市区）政府投资审计中心将对重点建设项目实施重点监控，逐步实行项目全过程跟踪审计，同时加强对社会中介机构的业务监督；进一步加强廉政工作，做到投资项目审计工作廉洁从审，认真落实中央、自治区、市、区对党风廉政建设工作的要求，不断加强干部职工的廉政教育工作，提升职工的廉政教育意识，加强对各项工作纪律、廉政纪律的监督检查，确保政府投资审计工作领域廉政建设工作；着力强化干部职工的教育培训工作，加大对干部职工对政府投资审计工作知识的培训、教育、学习力度，打造一支</w:t>
            </w:r>
            <w:r>
              <w:rPr>
                <w:rStyle w:val="23"/>
                <w:rFonts w:hint="default" w:ascii="Times New Roman" w:hAnsi="Times New Roman" w:eastAsia="楷体_GB2312" w:cs="Times New Roman"/>
                <w:sz w:val="28"/>
                <w:szCs w:val="28"/>
                <w:bdr w:val="none" w:color="auto" w:sz="0" w:space="0"/>
              </w:rPr>
              <w:t>“</w:t>
            </w:r>
            <w:r>
              <w:rPr>
                <w:rStyle w:val="23"/>
                <w:rFonts w:hint="eastAsia" w:ascii="楷体_GB2312" w:hAnsi="Times New Roman" w:eastAsia="楷体_GB2312" w:cs="楷体_GB2312"/>
                <w:sz w:val="28"/>
                <w:szCs w:val="28"/>
                <w:bdr w:val="none" w:color="auto" w:sz="0" w:space="0"/>
              </w:rPr>
              <w:t>业务精、能力强、作风硬、纪律严、敢担当</w:t>
            </w:r>
            <w:r>
              <w:rPr>
                <w:rStyle w:val="23"/>
                <w:rFonts w:hint="default" w:ascii="Times New Roman" w:hAnsi="Times New Roman" w:eastAsia="楷体_GB2312" w:cs="Times New Roman"/>
                <w:sz w:val="28"/>
                <w:szCs w:val="28"/>
                <w:bdr w:val="none" w:color="auto" w:sz="0" w:space="0"/>
              </w:rPr>
              <w:t>”</w:t>
            </w:r>
            <w:r>
              <w:rPr>
                <w:rStyle w:val="23"/>
                <w:rFonts w:hint="eastAsia" w:ascii="楷体_GB2312" w:hAnsi="Times New Roman" w:eastAsia="楷体_GB2312" w:cs="楷体_GB2312"/>
                <w:sz w:val="28"/>
                <w:szCs w:val="28"/>
                <w:bdr w:val="none" w:color="auto" w:sz="0" w:space="0"/>
              </w:rPr>
              <w:t xml:space="preserve">的政府投资审计工作铁军。 </w:t>
            </w:r>
          </w:p>
          <w:p>
            <w:pPr>
              <w:autoSpaceDE w:val="0"/>
              <w:autoSpaceDN w:val="0"/>
              <w:adjustRightInd w:val="0"/>
              <w:snapToGrid w:val="0"/>
              <w:spacing w:line="360" w:lineRule="auto"/>
              <w:rPr>
                <w:rFonts w:hint="eastAsia" w:ascii="楷体_GB2312" w:hAnsi="Times New Roman" w:eastAsia="楷体_GB2312" w:cs="楷体_GB2312"/>
                <w:kern w:val="2"/>
                <w:sz w:val="28"/>
                <w:szCs w:val="28"/>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相关资质认可或执业许可证明文件及有效期</w:t>
            </w:r>
          </w:p>
        </w:tc>
        <w:tc>
          <w:tcPr>
            <w:tcW w:w="7981" w:type="dxa"/>
            <w:gridSpan w:val="4"/>
            <w:tcBorders>
              <w:top w:val="single" w:color="auto" w:sz="12" w:space="0"/>
              <w:left w:val="nil"/>
              <w:bottom w:val="single" w:color="auto" w:sz="4" w:space="0"/>
              <w:right w:val="single" w:color="auto" w:sz="12" w:space="0"/>
            </w:tcBorders>
            <w:shd w:val="clear"/>
            <w:vAlign w:val="top"/>
          </w:tcPr>
          <w:p>
            <w:pPr>
              <w:spacing w:line="320" w:lineRule="exact"/>
              <w:rPr>
                <w:rFonts w:hint="eastAsia" w:ascii="楷体_GB2312" w:hAnsi="Times New Roman" w:eastAsia="楷体_GB2312" w:cs="楷体_GB2312"/>
                <w:kern w:val="2"/>
                <w:sz w:val="28"/>
                <w:szCs w:val="28"/>
                <w:bdr w:val="none" w:color="auto" w:sz="0" w:space="0"/>
              </w:rPr>
            </w:pPr>
            <w:r>
              <w:rPr>
                <w:rStyle w:val="23"/>
                <w:rFonts w:hint="eastAsia" w:ascii="楷体_GB2312" w:hAnsi="Times New Roman" w:eastAsia="楷体_GB2312" w:cs="楷体_GB2312"/>
                <w:sz w:val="28"/>
                <w:szCs w:val="28"/>
                <w:bdr w:val="none" w:color="auto" w:sz="0" w:space="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rPr>
                <w:rFonts w:hint="default" w:ascii="Times New Roman" w:hAnsi="Times New Roman" w:eastAsia="宋体" w:cs="Times New Roman"/>
                <w:kern w:val="2"/>
                <w:sz w:val="21"/>
                <w:szCs w:val="21"/>
                <w:bdr w:val="none" w:color="auto" w:sz="0" w:space="0"/>
              </w:rPr>
            </w:pPr>
            <w:r>
              <w:rPr>
                <w:rFonts w:hint="eastAsia" w:ascii="楷体_GB2312" w:hAnsi="Times New Roman" w:eastAsia="楷体_GB2312" w:cs="楷体_GB2312"/>
                <w:b/>
                <w:bCs/>
                <w:kern w:val="2"/>
                <w:sz w:val="32"/>
                <w:szCs w:val="32"/>
                <w:bdr w:val="none" w:color="auto" w:sz="0" w:space="0"/>
              </w:rPr>
              <w:t>绩</w:t>
            </w:r>
            <w:r>
              <w:rPr>
                <w:rFonts w:hint="default" w:ascii="Times New Roman" w:hAnsi="Times New Roman" w:eastAsia="楷体_GB2312" w:cs="Times New Roman"/>
                <w:b/>
                <w:bCs/>
                <w:kern w:val="2"/>
                <w:sz w:val="32"/>
                <w:szCs w:val="32"/>
                <w:bdr w:val="none" w:color="auto" w:sz="0" w:space="0"/>
              </w:rPr>
              <w:t> </w:t>
            </w:r>
            <w:r>
              <w:rPr>
                <w:rFonts w:hint="eastAsia" w:ascii="楷体_GB2312" w:hAnsi="Times New Roman" w:eastAsia="楷体_GB2312" w:cs="楷体_GB2312"/>
                <w:b/>
                <w:bCs/>
                <w:kern w:val="2"/>
                <w:sz w:val="32"/>
                <w:szCs w:val="32"/>
                <w:bdr w:val="none" w:color="auto" w:sz="0" w:space="0"/>
              </w:rPr>
              <w:t>效</w:t>
            </w:r>
            <w:r>
              <w:rPr>
                <w:rFonts w:hint="default" w:ascii="Times New Roman" w:hAnsi="Times New Roman" w:eastAsia="楷体_GB2312" w:cs="Times New Roman"/>
                <w:b/>
                <w:bCs/>
                <w:kern w:val="2"/>
                <w:sz w:val="32"/>
                <w:szCs w:val="32"/>
                <w:bdr w:val="none" w:color="auto" w:sz="0" w:space="0"/>
              </w:rPr>
              <w:t> </w:t>
            </w:r>
            <w:r>
              <w:rPr>
                <w:rFonts w:hint="eastAsia" w:ascii="楷体_GB2312" w:hAnsi="Times New Roman" w:eastAsia="楷体_GB2312" w:cs="楷体_GB2312"/>
                <w:b/>
                <w:bCs/>
                <w:kern w:val="2"/>
                <w:sz w:val="32"/>
                <w:szCs w:val="32"/>
                <w:bdr w:val="none" w:color="auto" w:sz="0" w:space="0"/>
              </w:rPr>
              <w:t>和受奖惩及诉讼投诉情</w:t>
            </w:r>
            <w:r>
              <w:rPr>
                <w:rFonts w:hint="default" w:ascii="Times New Roman" w:hAnsi="Times New Roman" w:eastAsia="楷体_GB2312" w:cs="Times New Roman"/>
                <w:b/>
                <w:bCs/>
                <w:kern w:val="2"/>
                <w:sz w:val="32"/>
                <w:szCs w:val="32"/>
                <w:bdr w:val="none" w:color="auto" w:sz="0" w:space="0"/>
              </w:rPr>
              <w:t xml:space="preserve">    </w:t>
            </w:r>
            <w:r>
              <w:rPr>
                <w:rFonts w:hint="eastAsia"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23"/>
                <w:rFonts w:hint="eastAsia" w:ascii="楷体_GB2312" w:hAnsi="Times New Roman" w:eastAsia="楷体_GB2312" w:cs="楷体_GB2312"/>
                <w:sz w:val="28"/>
                <w:szCs w:val="28"/>
                <w:bdr w:val="none" w:color="auto" w:sz="0" w:space="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接受捐赠</w:t>
            </w:r>
          </w:p>
          <w:p>
            <w:pPr>
              <w:spacing w:line="0" w:lineRule="atLeast"/>
              <w:rPr>
                <w:rFonts w:hint="default" w:ascii="Times New Roman" w:hAnsi="Times New Roman" w:eastAsia="宋体" w:cs="Times New Roman"/>
                <w:kern w:val="2"/>
                <w:sz w:val="21"/>
                <w:szCs w:val="21"/>
                <w:bdr w:val="none" w:color="auto" w:sz="0" w:space="0"/>
              </w:rPr>
            </w:pPr>
            <w:r>
              <w:rPr>
                <w:rFonts w:hint="eastAsia" w:ascii="楷体_GB2312" w:hAnsi="Times New Roman" w:eastAsia="楷体_GB2312" w:cs="楷体_GB2312"/>
                <w:b/>
                <w:bCs/>
                <w:kern w:val="2"/>
                <w:sz w:val="32"/>
                <w:szCs w:val="32"/>
                <w:bdr w:val="none" w:color="auto" w:sz="0" w:space="0"/>
              </w:rPr>
              <w:t>资助及使用</w:t>
            </w:r>
            <w:r>
              <w:rPr>
                <w:rFonts w:hint="default" w:ascii="Times New Roman" w:hAnsi="Times New Roman" w:eastAsia="楷体_GB2312" w:cs="Times New Roman"/>
                <w:b/>
                <w:bCs/>
                <w:kern w:val="2"/>
                <w:sz w:val="32"/>
                <w:szCs w:val="32"/>
                <w:bdr w:val="none" w:color="auto" w:sz="0" w:space="0"/>
              </w:rPr>
              <w:t> </w:t>
            </w:r>
            <w:r>
              <w:rPr>
                <w:rFonts w:hint="eastAsia" w:ascii="楷体_GB2312"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w:t>
            </w:r>
            <w:r>
              <w:rPr>
                <w:rFonts w:hint="eastAsia"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23"/>
                <w:rFonts w:hint="eastAsia" w:ascii="楷体_GB2312" w:hAnsi="Times New Roman" w:eastAsia="楷体_GB2312" w:cs="楷体_GB2312"/>
                <w:sz w:val="28"/>
                <w:szCs w:val="28"/>
                <w:bdr w:val="none" w:color="auto" w:sz="0" w:space="0"/>
              </w:rPr>
              <w:t>无</w:t>
            </w:r>
          </w:p>
        </w:tc>
      </w:tr>
    </w:tbl>
    <w:p>
      <w:pPr>
        <w:jc w:val="left"/>
        <w:rPr>
          <w:rFonts w:hint="eastAsia" w:ascii="楷体_GB2312" w:hAnsi="Times New Roman" w:eastAsia="楷体_GB2312" w:cs="楷体_GB2312"/>
          <w:b/>
          <w:bCs/>
          <w:kern w:val="2"/>
          <w:sz w:val="28"/>
          <w:szCs w:val="28"/>
        </w:rPr>
      </w:pPr>
      <w:r>
        <w:rPr>
          <w:rFonts w:hint="eastAsia" w:ascii="楷体_GB2312" w:hAnsi="Times New Roman" w:eastAsia="楷体_GB2312" w:cs="楷体_GB2312"/>
          <w:b/>
          <w:bCs/>
          <w:kern w:val="2"/>
          <w:sz w:val="28"/>
          <w:szCs w:val="28"/>
        </w:rPr>
        <w:t xml:space="preserve">填表人： </w:t>
      </w:r>
      <w:r>
        <w:rPr>
          <w:rStyle w:val="21"/>
          <w:rFonts w:hint="eastAsia" w:ascii="楷体_GB2312" w:hAnsi="Times New Roman" w:eastAsia="楷体_GB2312" w:cs="楷体_GB2312"/>
          <w:sz w:val="28"/>
          <w:szCs w:val="28"/>
        </w:rPr>
        <w:t>马丽霞</w:t>
      </w:r>
      <w:r>
        <w:rPr>
          <w:rFonts w:hint="eastAsia" w:ascii="楷体_GB2312" w:hAnsi="Times New Roman" w:eastAsia="楷体_GB2312" w:cs="楷体_GB2312"/>
          <w:b/>
          <w:bCs/>
          <w:kern w:val="2"/>
          <w:sz w:val="28"/>
          <w:szCs w:val="28"/>
        </w:rPr>
        <w:t xml:space="preserve">  </w:t>
      </w:r>
      <w:r>
        <w:rPr>
          <w:rStyle w:val="21"/>
          <w:rFonts w:hint="eastAsia" w:ascii="楷体_GB2312" w:hAnsi="Times New Roman" w:eastAsia="楷体_GB2312" w:cs="楷体_GB2312"/>
          <w:sz w:val="28"/>
          <w:szCs w:val="28"/>
        </w:rPr>
        <w:t xml:space="preserve">  </w:t>
      </w:r>
      <w:r>
        <w:rPr>
          <w:rFonts w:hint="eastAsia" w:ascii="楷体_GB2312" w:hAnsi="Times New Roman" w:eastAsia="楷体_GB2312" w:cs="楷体_GB2312"/>
          <w:b/>
          <w:bCs/>
          <w:kern w:val="2"/>
          <w:sz w:val="28"/>
          <w:szCs w:val="28"/>
        </w:rPr>
        <w:t>报送日期：</w:t>
      </w:r>
      <w:r>
        <w:rPr>
          <w:rStyle w:val="21"/>
          <w:rFonts w:hint="eastAsia" w:ascii="楷体_GB2312" w:hAnsi="Times New Roman" w:eastAsia="楷体_GB2312" w:cs="楷体_GB2312"/>
          <w:b/>
          <w:bCs/>
          <w:sz w:val="28"/>
          <w:szCs w:val="28"/>
        </w:rPr>
        <w:t>2023年01月12日</w:t>
      </w:r>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6A41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iPriority="99"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2">
    <w:name w:val="heading 1"/>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uiPriority w:val="99"/>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99"/>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8"/>
    <w:basedOn w:val="13"/>
    <w:uiPriority w:val="0"/>
    <w:rPr>
      <w:rFonts w:hint="default" w:ascii="Times New Roman" w:hAnsi="Times New Roman" w:cs="Times New Roman"/>
    </w:rPr>
  </w:style>
  <w:style w:type="character" w:customStyle="1" w:styleId="15">
    <w:name w:val="16"/>
    <w:basedOn w:val="13"/>
    <w:uiPriority w:val="0"/>
    <w:rPr>
      <w:rFonts w:hint="default" w:ascii="Times New Roman" w:hAnsi="Times New Roman" w:eastAsia="楷体_GB2312" w:cs="Times New Roman"/>
      <w:sz w:val="30"/>
      <w:szCs w:val="30"/>
    </w:rPr>
  </w:style>
  <w:style w:type="character" w:customStyle="1" w:styleId="16">
    <w:name w:val="17"/>
    <w:basedOn w:val="13"/>
    <w:uiPriority w:val="0"/>
    <w:rPr>
      <w:rFonts w:hint="default" w:ascii="Times New Roman" w:hAnsi="Times New Roman" w:eastAsia="宋体" w:cs="Times New Roman"/>
      <w:sz w:val="18"/>
      <w:szCs w:val="18"/>
    </w:rPr>
  </w:style>
  <w:style w:type="character" w:customStyle="1" w:styleId="17">
    <w:name w:val="20"/>
    <w:basedOn w:val="13"/>
    <w:uiPriority w:val="0"/>
    <w:rPr>
      <w:rFonts w:hint="eastAsia" w:ascii="黑体" w:hAnsi="宋体" w:eastAsia="黑体" w:cs="黑体"/>
      <w:sz w:val="36"/>
      <w:szCs w:val="36"/>
    </w:rPr>
  </w:style>
  <w:style w:type="character" w:customStyle="1" w:styleId="18">
    <w:name w:val="15"/>
    <w:basedOn w:val="13"/>
    <w:uiPriority w:val="0"/>
    <w:rPr>
      <w:rFonts w:hint="default" w:ascii="Times New Roman" w:hAnsi="Times New Roman" w:cs="Times New Roman"/>
    </w:rPr>
  </w:style>
  <w:style w:type="character" w:customStyle="1" w:styleId="19">
    <w:name w:val="10"/>
    <w:basedOn w:val="13"/>
    <w:uiPriority w:val="0"/>
    <w:rPr>
      <w:rFonts w:hint="default" w:ascii="Times New Roman" w:hAnsi="Times New Roman" w:cs="Times New Roman"/>
    </w:rPr>
  </w:style>
  <w:style w:type="character" w:customStyle="1" w:styleId="20">
    <w:name w:val="19"/>
    <w:basedOn w:val="13"/>
    <w:uiPriority w:val="0"/>
    <w:rPr>
      <w:rFonts w:hint="default" w:ascii="Times New Roman" w:hAnsi="Times New Roman" w:eastAsia="宋体" w:cs="Times New Roman"/>
      <w:sz w:val="18"/>
      <w:szCs w:val="18"/>
    </w:rPr>
  </w:style>
  <w:style w:type="character" w:customStyle="1" w:styleId="21">
    <w:name w:val="21"/>
    <w:basedOn w:val="13"/>
    <w:uiPriority w:val="0"/>
    <w:rPr>
      <w:rFonts w:hint="default" w:ascii="Times New Roman" w:hAnsi="Times New Roman" w:eastAsia="楷体_GB2312" w:cs="Times New Roman"/>
      <w:sz w:val="32"/>
      <w:szCs w:val="32"/>
    </w:rPr>
  </w:style>
  <w:style w:type="character" w:customStyle="1" w:styleId="22">
    <w:name w:val="22"/>
    <w:basedOn w:val="13"/>
    <w:uiPriority w:val="0"/>
    <w:rPr>
      <w:rFonts w:hint="default" w:ascii="Times New Roman" w:hAnsi="Times New Roman" w:cs="Times New Roman"/>
    </w:rPr>
  </w:style>
  <w:style w:type="character" w:customStyle="1" w:styleId="23">
    <w:name w:val="23"/>
    <w:basedOn w:val="13"/>
    <w:uiPriority w:val="0"/>
    <w:rPr>
      <w:rFonts w:hint="default" w:ascii="Times New Roman" w:hAnsi="Times New Roman" w:eastAsia="楷体_GB2312" w:cs="Times New Roman"/>
      <w:sz w:val="28"/>
      <w:szCs w:val="28"/>
    </w:rPr>
  </w:style>
  <w:style w:type="paragraph" w:customStyle="1" w:styleId="24">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5">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6">
    <w:name w:val="普通(网站) Char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Pages>
  <Characters>561</Characters>
  <Lines>4</Lines>
  <Paragraphs>1</Paragraph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2024-01-24T17:56:54Z</dcterms:created>
  <dc:creator>雨林木风</dc:creator>
  <cp:lastModifiedBy>峰</cp:lastModifiedBy>
  <dcterms:modified xsi:type="dcterms:W3CDTF">2024-01-24T17:57:18Z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C13B152B2E9C44FEA8C4F0FD986D914D_13</vt:lpwstr>
  </property>
</Properties>
</file>