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22"/>
          <w:rFonts w:hint="default" w:ascii="Times New Roman" w:hAnsi="Times New Roman" w:eastAsia="楷体_GB2312" w:cs="Times New Roman"/>
          <w:b/>
          <w:bCs/>
          <w:sz w:val="30"/>
          <w:szCs w:val="30"/>
        </w:rPr>
        <w:t>1265010445764851X7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22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乌鲁木齐高新技术产业开发区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（乌鲁木齐市新市区）疾病预防控制中心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7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7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宗旨：为人民身体健康提供防疫保健服务 业务范围：疾病预防监测与控制；卫生监督与监测；突发性事件处理；卫生宣传与健康教育；卫生防疫培训与技术指导；妇幼保健咨询.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乌鲁木齐市江苏东路275号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张亚丽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1127（万元）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2297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乌鲁木齐高新技术产业开发区（乌鲁木齐市新市区）疾病预防控制中心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按照《条例》和实施细则有关要求，及时进行变更登记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一、工作开展情况 （一）疫情防控工作 1、核酸采送样：完成了重点高危人群及环境的核酸样本采集6583份，双抗采集8425份；配合区集中隔离点完成了发放325299份核酸样本管，10546份双抗样本管。对全区开展核酸采集的点位进行督导，并落实专人专车、实名送样制度，强化培训等措施，继续规范送样流程，降低风险。 2、流行病学调查：2021年1月1日至今，我区流调专班共完成初始流调报告1834份（其中境外532人，双抗异常725人，及其他重点人员（环境相关）577人），共排查出密切接触者9568人，均落实了相应的医学观察措施。 3、实验室检测：完成核酸检测人员样本556.7万管，4614.7万人次；针对重点场所外环境共检测335.7万管。完成双抗检测人员样本39153份，其中阳性1780份。并保证在24小时内完成收样、检测、结果上传等工作。对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国门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”“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疆门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货场等重点场所开展325次消杀效果评估，采集消杀效果评估样本6268份，并在区疾控中心实验室进行检测。 4、质量控制与评估：成立了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高新区（新市区）新冠肺炎</w:t>
            </w:r>
            <w:r>
              <w:rPr>
                <w:rStyle w:val="2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eastAsia="zh-CN"/>
              </w:rPr>
              <w:t>核酸检测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和环境消毒质量控制与评估督导组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，分别对辖区13家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国门、疆门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货场、物流园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新冠肺炎</w:t>
            </w:r>
            <w:r>
              <w:rPr>
                <w:rStyle w:val="2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eastAsia="zh-CN"/>
              </w:rPr>
              <w:t>核酸检测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和环境消杀质量控制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工作开展情况进行督导。通过理论授课、实践操作、现场考核三个环节培训形式，对22个管委会的防疫办及社区卫生服务中心骨干师资人员，进行了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点对点</w:t>
            </w:r>
            <w:r>
              <w:rPr>
                <w:rStyle w:val="25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的专业技术培训。 5、疫苗接种工作：组织建设临时接种点，拟定新冠疫苗接种工作方案，向各新冠疫苗接种点发放疫苗及物资，并对接种工作进行派工；我区累计接种新冠疫苗一剂次87.0475万人，两剂次83.7791万人，加强免疫36.2918万人，共计接种207.1184万剂次。对参与疫苗接种的医务人员共计1200人次进行上岗培训。 （二）中心业务工作 健康教育及重精工作：辖区22个乡街，20个社服中心和乡镇卫生院，118个社区卫生服务站和村卫生室全部按要求定期更换宣传栏，截止目前我区已发放健康教育印刷资料种类共12种，播放健康教育音像资料种类共12种，播放次数共24808次，举办健康教育讲座次数609次，举办健康教育咨询活动次数共1164次，截止2021年12月31日实际居住在我区严重精神障碍患者进行核实并进行危险评估0-5级患者总人数为1991、其中三级以上患者总数3人、三级以下患者总1988人。住院情况：三级以上3人；三级以下56人。 慢性病防治工作：截止四季度我区七天一周期审核死亡卡频次达99%以上，截止2021年12月30日审核死亡卡4054份，死因监测工作持续开展。截止四季度我区已新成立4组高血压患者、糖尿病患者自我管理小组，推广和管理工作持续开展中。疾控中心已调查2017-2020年末分性别常住人口数，片区多渠道获得并上报2017-2020年死亡名单，社区服务中心及卫生院进行信息的漏报调查，疾控中心审核逐级上报国家信息网，此项工作持续三个月左右，已完成后期调查、录入，计算死亡率及漏报率。 艾滋病防治工作：截至2021年12月31日我区疫情现存活艾滋病感染者/病人 1363例，病人208例，我区五扩大六加强工作截至2021年12月31日28.6万人的筛查任务完成355249人，完成任务比例124.21%。已完成哨点监测任务八个目标人群的工作共计完成2100人的问卷调查及采血，完成梅毒、艾滋病、丙肝检测2100人。 4、结核病防治工作：截止2021年12月31日全区报告肺结核患者及疑似肺结核患者554例，其中重卡125例，死亡25例，到位人数319人，总体到位率：98.2%。肺结核重点人群筛查共计90223人，筛查率：96.6%。对定点医疗机构结核门诊、实验室每月进行1次督导，累计22次。对辖区内二级以上医疗机构进行督导，累计6次。对各社区卫生服务中心、乡镇卫生院每季度进行1次督导，累计60次。 5、免疫规划工作：在我区27家固定接种门诊，截止12月31日全区共接种免费流感疫苗73636人次。两轮脊灰疫苗补充免疫共接种50949人，2021年1月至2021年12月接种乙肝22632剂次，卡介苗9405剂次，脊灰25016剂次，百白破25841剂次，白破8698剂次，麻类15847剂次，A群流脑疫苗16100剂次，A+C群流脑疫苗18372剂次，甲肝8514剂次。 二、存在问题 （一）疫情防控工作和各项业务工作仍存在落不实落不细的现象，工作对接衔接不到位，督导效力不够，疫情防控和业务工作等数据共享不通畅。 （二）单位新进人员多，业务水平有限，业务指导水平有待提高；相关办公用品消耗增加，办公经费少，出现因没有工作证外出开展工作受阻的情况；办公设备、仪器老化，耗费人力，造成工作缓慢、公务用车压力大。 （三）部分业务工作开展过程中，因承接工作的单位专业人员短缺或调动，不能及时满足工作任务；辖区部分病人依从性差，责任单位管控不到位，无法追踪其具体情况，停药及拒绝治疗的病人存在失联、肇事肇祸等风险。 （四）核酸检测实验室建成以来检测设备需要维修保养，大量设备需要检定，同时实验室运转需要经费支持，资金压力大。 三、下一步工作措施 （一）加强业务人员的业务培训，提高业务能力，加强单位内部勤俭节约教育，并依据实际情况申请更多经费，努力优化当前各类资源的调配方法。 （二）积极与各部门联系，协同配合，在法律允许范围内，利用各种行政或执法手段，丰富业务开展方式，提高业务开展效率和效果。依托卫生行政部门加强协调，共享信息。 （三）加大对辖区各工作承接单位符合资质的人员的培训，进行人员储备，强化督导和法律政策宣传引导，加强群众工作。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根据医疗机构设定条件，中心取得医疗机构核准登记，并准予执业。《医疗机构执业许可证》登记号：650104203，有效期自2018年10月12日至2023年10月11日。根据本单位业务服务范围，开展HIV抗体检测初筛检测，并获得《HIV抗体检测初筛实验室资格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2021年度安全生产先进集体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3"/>
          <w:rFonts w:hint="eastAsia" w:ascii="楷体_GB2312" w:hAnsi="Times New Roman" w:eastAsia="楷体_GB2312" w:cs="楷体_GB2312"/>
          <w:sz w:val="28"/>
          <w:szCs w:val="28"/>
        </w:rPr>
        <w:t>崔宗君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                       </w:t>
      </w:r>
      <w:r>
        <w:rPr>
          <w:rStyle w:val="23"/>
          <w:rFonts w:hint="eastAsia" w:ascii="楷体_GB2312" w:hAnsi="Times New Roman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3"/>
          <w:rFonts w:hint="eastAsia" w:ascii="楷体_GB2312" w:hAnsi="Times New Roman" w:eastAsia="楷体_GB2312" w:cs="楷体_GB2312"/>
          <w:b/>
          <w:bCs/>
          <w:sz w:val="28"/>
          <w:szCs w:val="28"/>
        </w:rPr>
        <w:t>2022年03月17日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FF97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8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17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15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8">
    <w:name w:val="22"/>
    <w:basedOn w:val="13"/>
    <w:uiPriority w:val="0"/>
    <w:rPr>
      <w:rFonts w:hint="default" w:ascii="Times New Roman" w:hAnsi="Times New Roman" w:cs="Times New Roman"/>
    </w:rPr>
  </w:style>
  <w:style w:type="character" w:customStyle="1" w:styleId="19">
    <w:name w:val="19"/>
    <w:basedOn w:val="13"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2">
    <w:name w:val="16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3">
    <w:name w:val="20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4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25">
    <w:name w:val="21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paragraph" w:customStyle="1" w:styleId="26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Characters>561</Characters>
  <Lines>4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2024-01-24T18:11:43Z</dcterms:created>
  <dc:creator>雨林木风</dc:creator>
  <cp:lastModifiedBy>峰</cp:lastModifiedBy>
  <dcterms:modified xsi:type="dcterms:W3CDTF">2024-01-24T18:12:16Z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5E54880D9E6243D4B246656B2A4FBC34_13</vt:lpwstr>
  </property>
</Properties>
</file>