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hAnsi="Times New Roman" w:eastAsia="楷体_GB2312" w:cs="楷体_GB2312"/>
          <w:b/>
          <w:bCs/>
          <w:kern w:val="2"/>
          <w:sz w:val="30"/>
          <w:szCs w:val="30"/>
        </w:rPr>
      </w:pPr>
      <w:r>
        <w:rPr>
          <w:rFonts w:hint="eastAsia" w:ascii="楷体_GB2312" w:hAnsi="Times New Roman" w:eastAsia="楷体_GB2312" w:cs="楷体_GB2312"/>
          <w:b/>
          <w:bCs/>
          <w:kern w:val="2"/>
          <w:sz w:val="30"/>
          <w:szCs w:val="30"/>
        </w:rPr>
        <w:t xml:space="preserve">统一社会信用代码   </w:t>
      </w:r>
    </w:p>
    <w:p>
      <w:pPr>
        <w:wordWrap w:val="0"/>
        <w:jc w:val="right"/>
        <w:rPr>
          <w:rFonts w:hint="default" w:ascii="Times New Roman" w:hAnsi="Times New Roman" w:eastAsia="楷体_GB2312" w:cs="Times New Roman"/>
          <w:b/>
          <w:bCs/>
          <w:kern w:val="2"/>
          <w:sz w:val="30"/>
          <w:szCs w:val="30"/>
        </w:rPr>
      </w:pPr>
      <w:r>
        <w:rPr>
          <w:rFonts w:hint="default" w:ascii="Times New Roman" w:hAnsi="Times New Roman" w:eastAsia="楷体_GB2312" w:cs="Times New Roman"/>
          <w:b/>
          <w:bCs/>
          <w:kern w:val="2"/>
          <w:sz w:val="30"/>
          <w:szCs w:val="30"/>
        </w:rPr>
        <w:t xml:space="preserve">   </w:t>
      </w:r>
      <w:r>
        <w:rPr>
          <w:rStyle w:val="21"/>
          <w:rFonts w:hint="default" w:ascii="Times New Roman" w:hAnsi="Times New Roman" w:eastAsia="楷体_GB2312" w:cs="Times New Roman"/>
          <w:b/>
          <w:bCs/>
          <w:sz w:val="30"/>
          <w:szCs w:val="30"/>
        </w:rPr>
        <w:t>126501043288990800</w:t>
      </w:r>
      <w:r>
        <w:rPr>
          <w:rFonts w:hint="default" w:ascii="Times New Roman" w:hAnsi="Times New Roman" w:eastAsia="楷体_GB2312" w:cs="Times New Roman"/>
          <w:b/>
          <w:bCs/>
          <w:kern w:val="2"/>
          <w:sz w:val="30"/>
          <w:szCs w:val="30"/>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center"/>
        <w:rPr>
          <w:rFonts w:hint="default" w:ascii="Times New Roman" w:hAnsi="Times New Roman" w:eastAsia="黑体" w:cs="Times New Roman"/>
          <w:b/>
          <w:bCs/>
          <w:spacing w:val="40"/>
          <w:kern w:val="2"/>
          <w:sz w:val="52"/>
          <w:szCs w:val="52"/>
        </w:rPr>
      </w:pPr>
      <w:r>
        <w:rPr>
          <w:rFonts w:hint="eastAsia" w:ascii="黑体" w:hAnsi="宋体" w:eastAsia="黑体" w:cs="黑体"/>
          <w:b/>
          <w:bCs/>
          <w:spacing w:val="40"/>
          <w:kern w:val="2"/>
          <w:sz w:val="52"/>
          <w:szCs w:val="52"/>
        </w:rPr>
        <w:t>事业单位法人年度报告书</w:t>
      </w:r>
    </w:p>
    <w:p>
      <w:pPr>
        <w:jc w:val="center"/>
        <w:rPr>
          <w:rFonts w:hint="default" w:ascii="Times New Roman" w:hAnsi="Times New Roman" w:eastAsia="黑体" w:cs="Times New Roman"/>
          <w:b/>
          <w:bCs/>
          <w:spacing w:val="30"/>
          <w:kern w:val="2"/>
          <w:sz w:val="21"/>
          <w:szCs w:val="21"/>
        </w:rPr>
      </w:pPr>
      <w:r>
        <w:rPr>
          <w:rFonts w:hint="default" w:ascii="Times New Roman" w:hAnsi="Times New Roman" w:eastAsia="黑体" w:cs="Times New Roman"/>
          <w:b/>
          <w:bCs/>
          <w:spacing w:val="30"/>
          <w:kern w:val="2"/>
          <w:sz w:val="21"/>
          <w:szCs w:val="21"/>
        </w:rPr>
        <w:t xml:space="preserve"> </w:t>
      </w:r>
    </w:p>
    <w:p>
      <w:pPr>
        <w:jc w:val="center"/>
        <w:rPr>
          <w:rFonts w:hint="default" w:ascii="Times New Roman" w:hAnsi="Times New Roman" w:eastAsia="楷体_GB2312" w:cs="Times New Roman"/>
          <w:b/>
          <w:bCs/>
          <w:spacing w:val="30"/>
          <w:kern w:val="2"/>
          <w:sz w:val="36"/>
          <w:szCs w:val="36"/>
        </w:rPr>
      </w:pPr>
      <w:r>
        <w:rPr>
          <w:rFonts w:hint="eastAsia" w:ascii="楷体_GB2312" w:hAnsi="Times New Roman" w:eastAsia="楷体_GB2312" w:cs="楷体_GB2312"/>
          <w:b/>
          <w:bCs/>
          <w:spacing w:val="30"/>
          <w:kern w:val="2"/>
          <w:sz w:val="36"/>
          <w:szCs w:val="36"/>
        </w:rPr>
        <w:t>（</w:t>
      </w:r>
      <w:r>
        <w:rPr>
          <w:rFonts w:hint="default" w:ascii="Times New Roman" w:hAnsi="Times New Roman" w:eastAsia="楷体_GB2312" w:cs="Times New Roman"/>
          <w:b/>
          <w:bCs/>
          <w:spacing w:val="30"/>
          <w:kern w:val="2"/>
          <w:sz w:val="36"/>
          <w:szCs w:val="36"/>
        </w:rPr>
        <w:t xml:space="preserve">  </w:t>
      </w:r>
      <w:r>
        <w:rPr>
          <w:rStyle w:val="21"/>
          <w:rFonts w:hint="default" w:ascii="Times New Roman" w:hAnsi="Times New Roman" w:eastAsia="楷体_GB2312" w:cs="Times New Roman"/>
          <w:b/>
          <w:bCs/>
          <w:sz w:val="30"/>
          <w:szCs w:val="30"/>
        </w:rPr>
        <w:t>2022</w:t>
      </w:r>
      <w:r>
        <w:rPr>
          <w:rFonts w:hint="default" w:ascii="Times New Roman" w:hAnsi="Times New Roman" w:eastAsia="楷体_GB2312" w:cs="Times New Roman"/>
          <w:b/>
          <w:bCs/>
          <w:spacing w:val="30"/>
          <w:kern w:val="2"/>
          <w:sz w:val="36"/>
          <w:szCs w:val="36"/>
        </w:rPr>
        <w:t xml:space="preserve">  </w:t>
      </w:r>
      <w:r>
        <w:rPr>
          <w:rFonts w:hint="eastAsia" w:ascii="楷体_GB2312" w:hAnsi="Times New Roman" w:eastAsia="楷体_GB2312" w:cs="楷体_GB2312"/>
          <w:b/>
          <w:bCs/>
          <w:spacing w:val="30"/>
          <w:kern w:val="2"/>
          <w:sz w:val="36"/>
          <w:szCs w:val="36"/>
        </w:rPr>
        <w:t>年度）</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tcBorders>
              <w:top w:val="nil"/>
              <w:left w:val="nil"/>
              <w:bottom w:val="nil"/>
              <w:right w:val="nil"/>
            </w:tcBorders>
            <w:shd w:val="clear" w:color="auto" w:fill="auto"/>
            <w:vAlign w:val="bottom"/>
          </w:tcPr>
          <w:p>
            <w:pPr>
              <w:jc w:val="distribute"/>
              <w:rPr>
                <w:rFonts w:hint="default" w:ascii="Times New Roman" w:hAnsi="Times New Roman" w:eastAsia="宋体" w:cs="Times New Roman"/>
                <w:kern w:val="2"/>
                <w:sz w:val="21"/>
                <w:szCs w:val="21"/>
              </w:rPr>
            </w:pPr>
            <w:r>
              <w:rPr>
                <w:rStyle w:val="22"/>
                <w:rFonts w:hint="eastAsia" w:ascii="黑体" w:hAnsi="宋体" w:eastAsia="黑体" w:cs="黑体"/>
                <w:b/>
                <w:bCs/>
                <w:sz w:val="36"/>
                <w:szCs w:val="36"/>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hAnsi="Times New Roman" w:eastAsia="楷体_GB2312" w:cs="楷体_GB2312"/>
                <w:kern w:val="2"/>
                <w:sz w:val="32"/>
                <w:szCs w:val="32"/>
              </w:rPr>
            </w:pPr>
            <w:r>
              <w:rPr>
                <w:rStyle w:val="18"/>
                <w:rFonts w:hint="eastAsia" w:ascii="楷体_GB2312" w:hAnsi="Times New Roman" w:eastAsia="楷体_GB2312" w:cs="楷体_GB2312"/>
                <w:sz w:val="32"/>
                <w:szCs w:val="32"/>
              </w:rPr>
              <w:t>乌鲁木齐市第128小学</w:t>
            </w:r>
          </w:p>
        </w:tc>
      </w:tr>
    </w:tbl>
    <w:p>
      <w:pPr>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365" w:type="dxa"/>
            <w:tcBorders>
              <w:top w:val="nil"/>
              <w:left w:val="nil"/>
              <w:bottom w:val="nil"/>
              <w:right w:val="nil"/>
            </w:tcBorders>
            <w:shd w:val="clear" w:color="auto" w:fill="auto"/>
            <w:vAlign w:val="bottom"/>
          </w:tcPr>
          <w:p>
            <w:pPr>
              <w:jc w:val="distribute"/>
              <w:rPr>
                <w:rFonts w:hint="default" w:ascii="Times New Roman" w:hAnsi="Times New Roman" w:eastAsia="宋体" w:cs="Times New Roman"/>
                <w:kern w:val="2"/>
                <w:sz w:val="21"/>
                <w:szCs w:val="21"/>
              </w:rPr>
            </w:pPr>
            <w:r>
              <w:rPr>
                <w:rStyle w:val="22"/>
                <w:rFonts w:hint="eastAsia" w:ascii="黑体" w:hAnsi="宋体" w:eastAsia="黑体" w:cs="黑体"/>
                <w:b/>
                <w:bCs/>
                <w:sz w:val="36"/>
                <w:szCs w:val="36"/>
              </w:rPr>
              <w:t>法</w:t>
            </w:r>
            <w:r>
              <w:rPr>
                <w:rStyle w:val="22"/>
                <w:rFonts w:hint="eastAsia" w:ascii="黑体" w:hAnsi="宋体" w:eastAsia="黑体" w:cs="黑体"/>
                <w:b/>
                <w:bCs/>
                <w:spacing w:val="30"/>
                <w:sz w:val="36"/>
                <w:szCs w:val="36"/>
              </w:rPr>
              <w:t>定代表</w:t>
            </w:r>
            <w:r>
              <w:rPr>
                <w:rStyle w:val="22"/>
                <w:rFonts w:hint="eastAsia" w:ascii="黑体" w:hAnsi="宋体" w:eastAsia="黑体" w:cs="黑体"/>
                <w:b/>
                <w:bCs/>
                <w:sz w:val="36"/>
                <w:szCs w:val="36"/>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rFonts w:hint="default" w:ascii="Times New Roman" w:hAnsi="Times New Roman" w:eastAsia="宋体" w:cs="Times New Roman"/>
                <w:kern w:val="0"/>
                <w:sz w:val="20"/>
                <w:szCs w:val="20"/>
              </w:rPr>
            </w:pPr>
          </w:p>
        </w:tc>
      </w:tr>
    </w:tbl>
    <w:p>
      <w:pPr>
        <w:ind w:left="0" w:firstLine="723" w:firstLineChars="300"/>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p>
      <w:pPr>
        <w:jc w:val="center"/>
        <w:rPr>
          <w:rFonts w:hint="eastAsia" w:ascii="黑体" w:hAnsi="宋体" w:eastAsia="黑体" w:cs="黑体"/>
          <w:b/>
          <w:bCs/>
          <w:kern w:val="2"/>
          <w:sz w:val="30"/>
          <w:szCs w:val="30"/>
          <w:u w:val="single"/>
        </w:rPr>
      </w:pPr>
      <w:r>
        <w:rPr>
          <w:rFonts w:hint="eastAsia" w:ascii="黑体" w:hAnsi="宋体" w:eastAsia="黑体" w:cs="黑体"/>
          <w:b/>
          <w:bCs/>
          <w:kern w:val="2"/>
          <w:sz w:val="30"/>
          <w:szCs w:val="30"/>
          <w:u w:val="single"/>
        </w:rPr>
        <w:t xml:space="preserve"> </w:t>
      </w:r>
    </w:p>
    <w:p>
      <w:pPr>
        <w:jc w:val="center"/>
        <w:rPr>
          <w:rFonts w:hint="eastAsia" w:ascii="黑体" w:hAnsi="宋体" w:eastAsia="黑体" w:cs="黑体"/>
          <w:b/>
          <w:bCs/>
          <w:kern w:val="2"/>
          <w:sz w:val="30"/>
          <w:szCs w:val="30"/>
          <w:u w:val="single"/>
        </w:rPr>
      </w:pPr>
      <w:r>
        <w:rPr>
          <w:rFonts w:hint="eastAsia" w:ascii="黑体" w:hAnsi="宋体" w:eastAsia="黑体" w:cs="黑体"/>
          <w:b/>
          <w:bCs/>
          <w:kern w:val="2"/>
          <w:sz w:val="30"/>
          <w:szCs w:val="30"/>
          <w:u w:val="single"/>
        </w:rPr>
        <w:t xml:space="preserve"> </w:t>
      </w:r>
    </w:p>
    <w:p>
      <w:pPr>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 xml:space="preserve"> </w:t>
      </w:r>
    </w:p>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国家事业单位登记管理局制</w:t>
      </w:r>
    </w:p>
    <w:p>
      <w:pPr>
        <w:jc w:val="center"/>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《事业</w:t>
            </w:r>
          </w:p>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单位</w:t>
            </w:r>
          </w:p>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法人</w:t>
            </w:r>
          </w:p>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证书》</w:t>
            </w:r>
          </w:p>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登载</w:t>
            </w:r>
          </w:p>
          <w:p>
            <w:pPr>
              <w:jc w:val="center"/>
              <w:rPr>
                <w:rFonts w:hint="default" w:ascii="Times New Roman" w:hAnsi="Times New Roman" w:eastAsia="楷体_GB2312" w:cs="Times New Roman"/>
                <w:kern w:val="2"/>
                <w:sz w:val="32"/>
                <w:szCs w:val="32"/>
              </w:rPr>
            </w:pPr>
            <w:r>
              <w:rPr>
                <w:rFonts w:hint="eastAsia" w:ascii="楷体_GB2312" w:hAnsi="Times New Roman" w:eastAsia="楷体_GB2312" w:cs="楷体_GB2312"/>
                <w:b/>
                <w:bCs/>
                <w:kern w:val="2"/>
                <w:sz w:val="32"/>
                <w:szCs w:val="32"/>
              </w:rPr>
              <w:t>事项</w:t>
            </w:r>
          </w:p>
        </w:tc>
        <w:tc>
          <w:tcPr>
            <w:tcW w:w="2031" w:type="dxa"/>
            <w:tcBorders>
              <w:top w:val="single" w:color="auto" w:sz="12"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单位名称</w:t>
            </w:r>
          </w:p>
        </w:tc>
        <w:tc>
          <w:tcPr>
            <w:tcW w:w="5950" w:type="dxa"/>
            <w:gridSpan w:val="3"/>
            <w:tcBorders>
              <w:top w:val="single" w:color="auto" w:sz="12" w:space="0"/>
              <w:left w:val="nil"/>
              <w:bottom w:val="single" w:color="auto" w:sz="4" w:space="0"/>
              <w:right w:val="single" w:color="auto" w:sz="12" w:space="0"/>
            </w:tcBorders>
            <w:shd w:val="clear" w:color="auto" w:fill="auto"/>
            <w:vAlign w:val="center"/>
          </w:tcPr>
          <w:p>
            <w:pPr>
              <w:spacing w:line="320" w:lineRule="exact"/>
              <w:jc w:val="left"/>
              <w:rPr>
                <w:rFonts w:hint="eastAsia" w:ascii="楷体_GB2312" w:hAnsi="Times New Roman" w:eastAsia="楷体_GB2312" w:cs="楷体_GB2312"/>
                <w:kern w:val="2"/>
                <w:sz w:val="28"/>
                <w:szCs w:val="28"/>
              </w:rPr>
            </w:pPr>
            <w:r>
              <w:rPr>
                <w:rStyle w:val="23"/>
                <w:rFonts w:hint="eastAsia" w:ascii="楷体_GB2312" w:hAnsi="Times New Roman" w:eastAsia="楷体_GB2312" w:cs="楷体_GB2312"/>
                <w:sz w:val="28"/>
                <w:szCs w:val="28"/>
              </w:rPr>
              <w:t>乌鲁木齐市第128小学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宗旨和</w:t>
            </w:r>
          </w:p>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业务范围</w:t>
            </w:r>
          </w:p>
        </w:tc>
        <w:tc>
          <w:tcPr>
            <w:tcW w:w="5950" w:type="dxa"/>
            <w:gridSpan w:val="3"/>
            <w:tcBorders>
              <w:top w:val="single" w:color="auto" w:sz="4" w:space="0"/>
              <w:left w:val="nil"/>
              <w:bottom w:val="single" w:color="auto" w:sz="4" w:space="0"/>
              <w:right w:val="single" w:color="auto" w:sz="12" w:space="0"/>
            </w:tcBorders>
            <w:shd w:val="clear" w:color="auto" w:fill="auto"/>
            <w:vAlign w:val="top"/>
          </w:tcPr>
          <w:p>
            <w:pPr>
              <w:jc w:val="left"/>
              <w:rPr>
                <w:rFonts w:hint="eastAsia" w:ascii="楷体_GB2312" w:hAnsi="Times New Roman" w:eastAsia="楷体_GB2312" w:cs="楷体_GB2312"/>
                <w:kern w:val="2"/>
                <w:sz w:val="28"/>
                <w:szCs w:val="28"/>
              </w:rPr>
            </w:pPr>
            <w:r>
              <w:rPr>
                <w:rStyle w:val="23"/>
                <w:rFonts w:hint="eastAsia" w:ascii="楷体_GB2312" w:hAnsi="Times New Roman" w:eastAsia="楷体_GB2312" w:cs="楷体_GB2312"/>
                <w:sz w:val="28"/>
                <w:szCs w:val="28"/>
              </w:rPr>
              <w:t>宗旨：管理学区教学、促进基础教育发展。业务范围：幼儿教育、小学义务教育。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住</w:t>
            </w:r>
            <w:r>
              <w:rPr>
                <w:rFonts w:hint="default" w:ascii="Times New Roman" w:hAnsi="Times New Roman" w:eastAsia="楷体_GB2312" w:cs="Times New Roman"/>
                <w:b/>
                <w:bCs/>
                <w:kern w:val="2"/>
                <w:sz w:val="32"/>
                <w:szCs w:val="32"/>
              </w:rPr>
              <w:t xml:space="preserve">    </w:t>
            </w:r>
            <w:r>
              <w:rPr>
                <w:rFonts w:hint="eastAsia" w:ascii="楷体_GB2312" w:hAnsi="Times New Roman" w:eastAsia="楷体_GB2312" w:cs="楷体_GB2312"/>
                <w:b/>
                <w:bCs/>
                <w:kern w:val="2"/>
                <w:sz w:val="32"/>
                <w:szCs w:val="32"/>
              </w:rPr>
              <w:t>所</w:t>
            </w:r>
          </w:p>
        </w:tc>
        <w:tc>
          <w:tcPr>
            <w:tcW w:w="5950" w:type="dxa"/>
            <w:gridSpan w:val="3"/>
            <w:tcBorders>
              <w:top w:val="single" w:color="auto" w:sz="4" w:space="0"/>
              <w:left w:val="nil"/>
              <w:bottom w:val="single" w:color="auto" w:sz="4" w:space="0"/>
              <w:right w:val="single" w:color="auto" w:sz="12" w:space="0"/>
            </w:tcBorders>
            <w:shd w:val="clear" w:color="auto" w:fill="auto"/>
            <w:vAlign w:val="top"/>
          </w:tcPr>
          <w:p>
            <w:pPr>
              <w:jc w:val="left"/>
              <w:rPr>
                <w:rFonts w:hint="default" w:ascii="Times New Roman" w:hAnsi="Times New Roman" w:eastAsia="宋体" w:cs="Times New Roman"/>
                <w:kern w:val="2"/>
                <w:sz w:val="21"/>
                <w:szCs w:val="21"/>
              </w:rPr>
            </w:pPr>
            <w:r>
              <w:rPr>
                <w:rStyle w:val="23"/>
                <w:rFonts w:hint="eastAsia" w:ascii="楷体_GB2312" w:hAnsi="Times New Roman" w:eastAsia="楷体_GB2312" w:cs="楷体_GB2312"/>
                <w:sz w:val="28"/>
                <w:szCs w:val="28"/>
              </w:rPr>
              <w:t>高新区（新市区）六十户乡大梁村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法定代表人</w:t>
            </w:r>
          </w:p>
        </w:tc>
        <w:tc>
          <w:tcPr>
            <w:tcW w:w="5950" w:type="dxa"/>
            <w:gridSpan w:val="3"/>
            <w:tcBorders>
              <w:top w:val="single" w:color="auto" w:sz="4" w:space="0"/>
              <w:left w:val="nil"/>
              <w:bottom w:val="single" w:color="auto" w:sz="4" w:space="0"/>
              <w:right w:val="single" w:color="auto" w:sz="12" w:space="0"/>
            </w:tcBorders>
            <w:shd w:val="clear" w:color="auto" w:fill="auto"/>
            <w:vAlign w:val="top"/>
          </w:tcPr>
          <w:p>
            <w:pPr>
              <w:jc w:val="left"/>
              <w:rPr>
                <w:rFonts w:hint="default" w:ascii="Times New Roman" w:hAnsi="Times New Roman" w:eastAsia="宋体" w:cs="Times New Roman"/>
                <w:kern w:val="2"/>
                <w:sz w:val="21"/>
                <w:szCs w:val="21"/>
              </w:rPr>
            </w:pPr>
            <w:r>
              <w:rPr>
                <w:rStyle w:val="23"/>
                <w:rFonts w:hint="eastAsia" w:ascii="楷体_GB2312" w:hAnsi="Times New Roman" w:eastAsia="楷体_GB2312" w:cs="楷体_GB2312"/>
                <w:sz w:val="28"/>
                <w:szCs w:val="28"/>
              </w:rPr>
              <w:t>张兰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开办资金</w:t>
            </w:r>
          </w:p>
        </w:tc>
        <w:tc>
          <w:tcPr>
            <w:tcW w:w="5950" w:type="dxa"/>
            <w:gridSpan w:val="3"/>
            <w:tcBorders>
              <w:top w:val="single" w:color="auto" w:sz="4" w:space="0"/>
              <w:left w:val="nil"/>
              <w:bottom w:val="single" w:color="auto" w:sz="4" w:space="0"/>
              <w:right w:val="single" w:color="auto" w:sz="12" w:space="0"/>
            </w:tcBorders>
            <w:shd w:val="clear" w:color="auto" w:fill="auto"/>
            <w:vAlign w:val="top"/>
          </w:tcPr>
          <w:p>
            <w:pPr>
              <w:jc w:val="left"/>
              <w:rPr>
                <w:rFonts w:hint="eastAsia" w:ascii="楷体_GB2312" w:hAnsi="Times New Roman" w:eastAsia="楷体_GB2312" w:cs="楷体_GB2312"/>
                <w:kern w:val="2"/>
                <w:sz w:val="28"/>
                <w:szCs w:val="28"/>
              </w:rPr>
            </w:pPr>
            <w:r>
              <w:rPr>
                <w:rStyle w:val="23"/>
                <w:rFonts w:hint="eastAsia" w:ascii="楷体_GB2312" w:hAnsi="Times New Roman" w:eastAsia="楷体_GB2312" w:cs="楷体_GB2312"/>
                <w:sz w:val="28"/>
                <w:szCs w:val="28"/>
              </w:rPr>
              <w:t>347（万元）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经费来源</w:t>
            </w:r>
          </w:p>
        </w:tc>
        <w:tc>
          <w:tcPr>
            <w:tcW w:w="5950" w:type="dxa"/>
            <w:gridSpan w:val="3"/>
            <w:tcBorders>
              <w:top w:val="single" w:color="auto" w:sz="4" w:space="0"/>
              <w:left w:val="nil"/>
              <w:bottom w:val="single" w:color="auto" w:sz="4" w:space="0"/>
              <w:right w:val="single" w:color="auto" w:sz="12" w:space="0"/>
            </w:tcBorders>
            <w:shd w:val="clear" w:color="auto" w:fill="auto"/>
            <w:vAlign w:val="center"/>
          </w:tcPr>
          <w:p>
            <w:pPr>
              <w:jc w:val="left"/>
              <w:rPr>
                <w:rFonts w:hint="default" w:ascii="Times New Roman" w:hAnsi="Times New Roman" w:eastAsia="宋体" w:cs="Times New Roman"/>
                <w:kern w:val="2"/>
                <w:sz w:val="32"/>
                <w:szCs w:val="32"/>
              </w:rPr>
            </w:pPr>
            <w:r>
              <w:rPr>
                <w:rStyle w:val="23"/>
                <w:rFonts w:hint="eastAsia" w:ascii="楷体_GB2312" w:hAnsi="Times New Roman" w:eastAsia="楷体_GB2312" w:cs="楷体_GB2312"/>
                <w:sz w:val="28"/>
                <w:szCs w:val="28"/>
              </w:rPr>
              <w:t>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举办单位</w:t>
            </w:r>
          </w:p>
        </w:tc>
        <w:tc>
          <w:tcPr>
            <w:tcW w:w="5950" w:type="dxa"/>
            <w:gridSpan w:val="3"/>
            <w:tcBorders>
              <w:top w:val="single" w:color="auto" w:sz="4" w:space="0"/>
              <w:left w:val="nil"/>
              <w:bottom w:val="single" w:color="auto" w:sz="4" w:space="0"/>
              <w:right w:val="single" w:color="auto" w:sz="12" w:space="0"/>
            </w:tcBorders>
            <w:shd w:val="clear" w:color="auto" w:fill="auto"/>
            <w:vAlign w:val="center"/>
          </w:tcPr>
          <w:p>
            <w:pPr>
              <w:jc w:val="left"/>
              <w:rPr>
                <w:rFonts w:hint="default" w:ascii="Times New Roman" w:hAnsi="Times New Roman" w:eastAsia="宋体" w:cs="Times New Roman"/>
                <w:kern w:val="2"/>
                <w:sz w:val="21"/>
                <w:szCs w:val="21"/>
              </w:rPr>
            </w:pPr>
            <w:r>
              <w:rPr>
                <w:rStyle w:val="23"/>
                <w:rFonts w:hint="eastAsia" w:ascii="楷体_GB2312" w:hAnsi="Times New Roman" w:eastAsia="楷体_GB2312" w:cs="楷体_GB2312"/>
                <w:sz w:val="28"/>
                <w:szCs w:val="28"/>
              </w:rPr>
              <w:t>乌鲁木齐高新技术产业开发区（乌鲁木齐市新市区）教育局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restart"/>
            <w:tcBorders>
              <w:top w:val="nil"/>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资产</w:t>
            </w:r>
          </w:p>
          <w:p>
            <w:pPr>
              <w:keepNext w:val="0"/>
              <w:keepLines w:val="0"/>
              <w:widowControl/>
              <w:suppressLineNumbers w:val="0"/>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损益</w:t>
            </w:r>
          </w:p>
          <w:p>
            <w:pPr>
              <w:keepNext w:val="0"/>
              <w:keepLines w:val="0"/>
              <w:widowControl/>
              <w:suppressLineNumbers w:val="0"/>
              <w:jc w:val="center"/>
              <w:rPr>
                <w:rFonts w:hint="default" w:ascii="Times New Roman" w:hAnsi="Times New Roman" w:eastAsia="楷体_GB2312" w:cs="Times New Roman"/>
                <w:kern w:val="2"/>
                <w:sz w:val="32"/>
                <w:szCs w:val="32"/>
              </w:rPr>
            </w:pPr>
            <w:r>
              <w:rPr>
                <w:rFonts w:hint="eastAsia" w:ascii="楷体_GB2312" w:hAnsi="Times New Roman" w:eastAsia="楷体_GB2312" w:cs="楷体_GB2312"/>
                <w:b/>
                <w:bCs/>
                <w:kern w:val="2"/>
                <w:sz w:val="32"/>
                <w:szCs w:val="32"/>
              </w:rPr>
              <w:t>情况</w:t>
            </w:r>
          </w:p>
        </w:tc>
        <w:tc>
          <w:tcPr>
            <w:tcW w:w="7981" w:type="dxa"/>
            <w:gridSpan w:val="4"/>
            <w:tcBorders>
              <w:top w:val="single" w:color="auto" w:sz="4" w:space="0"/>
              <w:left w:val="nil"/>
              <w:bottom w:val="single" w:color="auto" w:sz="4" w:space="0"/>
              <w:right w:val="single" w:color="auto" w:sz="12" w:space="0"/>
            </w:tcBorders>
            <w:shd w:val="clear" w:color="auto" w:fill="auto"/>
            <w:vAlign w:val="center"/>
          </w:tcPr>
          <w:p>
            <w:pPr>
              <w:jc w:val="center"/>
              <w:rPr>
                <w:rFonts w:hint="default" w:ascii="Times New Roman" w:hAnsi="Times New Roman" w:eastAsia="宋体" w:cs="Times New Roman"/>
                <w:kern w:val="2"/>
                <w:sz w:val="32"/>
                <w:szCs w:val="32"/>
              </w:rPr>
            </w:pPr>
            <w:r>
              <w:rPr>
                <w:rStyle w:val="18"/>
                <w:rFonts w:hint="eastAsia" w:ascii="楷体_GB2312" w:hAnsi="Times New Roman" w:eastAsia="楷体_GB2312" w:cs="楷体_GB2312"/>
                <w:sz w:val="32"/>
                <w:szCs w:val="32"/>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nil"/>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32"/>
                <w:szCs w:val="32"/>
              </w:rPr>
            </w:pPr>
            <w:r>
              <w:rPr>
                <w:rStyle w:val="18"/>
                <w:rFonts w:hint="eastAsia" w:ascii="楷体_GB2312" w:hAnsi="Times New Roman" w:eastAsia="楷体_GB2312" w:cs="楷体_GB2312"/>
                <w:sz w:val="32"/>
                <w:szCs w:val="32"/>
              </w:rPr>
              <w:t>年初数（万元）</w:t>
            </w:r>
          </w:p>
        </w:tc>
        <w:tc>
          <w:tcPr>
            <w:tcW w:w="4154" w:type="dxa"/>
            <w:gridSpan w:val="2"/>
            <w:tcBorders>
              <w:top w:val="single" w:color="auto" w:sz="4" w:space="0"/>
              <w:left w:val="nil"/>
              <w:bottom w:val="single" w:color="auto" w:sz="4" w:space="0"/>
              <w:right w:val="single" w:color="auto" w:sz="12" w:space="0"/>
            </w:tcBorders>
            <w:shd w:val="clear" w:color="auto" w:fill="auto"/>
            <w:vAlign w:val="center"/>
          </w:tcPr>
          <w:p>
            <w:pPr>
              <w:jc w:val="center"/>
              <w:rPr>
                <w:rFonts w:hint="default" w:ascii="Times New Roman" w:hAnsi="Times New Roman" w:eastAsia="宋体" w:cs="Times New Roman"/>
                <w:kern w:val="2"/>
                <w:sz w:val="32"/>
                <w:szCs w:val="32"/>
              </w:rPr>
            </w:pPr>
            <w:r>
              <w:rPr>
                <w:rStyle w:val="18"/>
                <w:rFonts w:hint="eastAsia" w:ascii="楷体_GB2312" w:hAnsi="Times New Roman" w:eastAsia="楷体_GB2312" w:cs="楷体_GB2312"/>
                <w:sz w:val="32"/>
                <w:szCs w:val="32"/>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nil"/>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32"/>
                <w:szCs w:val="32"/>
              </w:rPr>
            </w:pPr>
            <w:r>
              <w:rPr>
                <w:rStyle w:val="18"/>
                <w:rFonts w:hint="default" w:ascii="Times New Roman" w:hAnsi="Times New Roman" w:eastAsia="楷体_GB2312" w:cs="Times New Roman"/>
                <w:sz w:val="32"/>
                <w:szCs w:val="32"/>
              </w:rPr>
              <w:t>311.7</w:t>
            </w:r>
          </w:p>
        </w:tc>
        <w:tc>
          <w:tcPr>
            <w:tcW w:w="4154" w:type="dxa"/>
            <w:gridSpan w:val="2"/>
            <w:tcBorders>
              <w:top w:val="single" w:color="auto" w:sz="4" w:space="0"/>
              <w:left w:val="nil"/>
              <w:bottom w:val="single" w:color="auto" w:sz="4" w:space="0"/>
              <w:right w:val="single" w:color="auto" w:sz="12" w:space="0"/>
            </w:tcBorders>
            <w:shd w:val="clear" w:color="auto" w:fill="auto"/>
            <w:vAlign w:val="top"/>
          </w:tcPr>
          <w:p>
            <w:pPr>
              <w:jc w:val="center"/>
              <w:rPr>
                <w:rFonts w:hint="default" w:ascii="Times New Roman" w:hAnsi="Times New Roman" w:eastAsia="宋体" w:cs="Times New Roman"/>
                <w:kern w:val="2"/>
                <w:sz w:val="21"/>
                <w:szCs w:val="21"/>
              </w:rPr>
            </w:pPr>
            <w:r>
              <w:rPr>
                <w:rStyle w:val="23"/>
                <w:rFonts w:hint="default" w:ascii="Times New Roman" w:hAnsi="Times New Roman" w:eastAsia="楷体_GB2312" w:cs="Times New Roman"/>
                <w:sz w:val="32"/>
                <w:szCs w:val="32"/>
              </w:rPr>
              <w:t>252.63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hAnsi="Times New Roman" w:eastAsia="楷体_GB2312" w:cs="楷体_GB2312"/>
                <w:b/>
                <w:bCs/>
                <w:kern w:val="2"/>
                <w:sz w:val="32"/>
                <w:szCs w:val="32"/>
              </w:rPr>
            </w:pPr>
            <w:r>
              <w:rPr>
                <w:rFonts w:hint="eastAsia" w:ascii="楷体_GB2312" w:hAnsi="Times New Roman" w:eastAsia="楷体_GB2312" w:cs="楷体_GB2312"/>
                <w:b/>
                <w:bCs/>
                <w:kern w:val="2"/>
                <w:sz w:val="32"/>
                <w:szCs w:val="32"/>
              </w:rPr>
              <w:t>网上名称</w:t>
            </w:r>
          </w:p>
        </w:tc>
        <w:tc>
          <w:tcPr>
            <w:tcW w:w="3827" w:type="dxa"/>
            <w:gridSpan w:val="2"/>
            <w:tcBorders>
              <w:top w:val="single" w:color="auto" w:sz="4" w:space="0"/>
              <w:left w:val="nil"/>
              <w:bottom w:val="single" w:color="auto" w:sz="4" w:space="0"/>
              <w:right w:val="single" w:color="auto" w:sz="4" w:space="0"/>
            </w:tcBorders>
            <w:shd w:val="clear" w:color="auto" w:fill="auto"/>
            <w:vAlign w:val="center"/>
          </w:tcPr>
          <w:p>
            <w:pPr>
              <w:spacing w:line="0" w:lineRule="atLeast"/>
              <w:jc w:val="left"/>
              <w:rPr>
                <w:rFonts w:hint="eastAsia" w:ascii="楷体_GB2312" w:hAnsi="Times New Roman" w:eastAsia="楷体_GB2312" w:cs="楷体_GB2312"/>
                <w:kern w:val="2"/>
                <w:sz w:val="32"/>
                <w:szCs w:val="32"/>
              </w:rPr>
            </w:pPr>
            <w:r>
              <w:rPr>
                <w:rFonts w:hint="eastAsia" w:ascii="楷体_GB2312" w:hAnsi="Times New Roman" w:eastAsia="楷体_GB2312" w:cs="楷体_GB2312"/>
                <w:b/>
                <w:bCs/>
                <w:kern w:val="2"/>
                <w:sz w:val="32"/>
                <w:szCs w:val="32"/>
              </w:rPr>
              <w:t>乌鲁木齐市第128小学</w:t>
            </w:r>
          </w:p>
        </w:tc>
        <w:tc>
          <w:tcPr>
            <w:tcW w:w="170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楷体_GB2312" w:hAnsi="Times New Roman" w:eastAsia="楷体_GB2312" w:cs="楷体_GB2312"/>
                <w:kern w:val="2"/>
                <w:sz w:val="32"/>
                <w:szCs w:val="32"/>
              </w:rPr>
            </w:pPr>
            <w:r>
              <w:rPr>
                <w:rFonts w:hint="eastAsia" w:ascii="楷体_GB2312" w:hAnsi="Times New Roman" w:eastAsia="楷体_GB2312" w:cs="楷体_GB2312"/>
                <w:b/>
                <w:bCs/>
                <w:kern w:val="2"/>
                <w:sz w:val="32"/>
                <w:szCs w:val="32"/>
              </w:rPr>
              <w:t>从业人数</w:t>
            </w:r>
          </w:p>
        </w:tc>
        <w:tc>
          <w:tcPr>
            <w:tcW w:w="2452" w:type="dxa"/>
            <w:tcBorders>
              <w:top w:val="single" w:color="auto" w:sz="4" w:space="0"/>
              <w:left w:val="nil"/>
              <w:bottom w:val="single" w:color="auto" w:sz="4" w:space="0"/>
              <w:right w:val="single" w:color="auto" w:sz="12" w:space="0"/>
            </w:tcBorders>
            <w:shd w:val="clear" w:color="auto" w:fill="auto"/>
            <w:vAlign w:val="center"/>
          </w:tcPr>
          <w:p>
            <w:pPr>
              <w:spacing w:line="0" w:lineRule="atLeast"/>
              <w:jc w:val="left"/>
              <w:rPr>
                <w:rFonts w:hint="eastAsia" w:ascii="楷体_GB2312" w:hAnsi="Times New Roman" w:eastAsia="楷体_GB2312" w:cs="楷体_GB2312"/>
                <w:kern w:val="2"/>
                <w:sz w:val="32"/>
                <w:szCs w:val="32"/>
              </w:rPr>
            </w:pPr>
            <w:r>
              <w:rPr>
                <w:rStyle w:val="18"/>
                <w:rFonts w:hint="default" w:ascii="Times New Roman" w:hAnsi="Times New Roman" w:eastAsia="楷体_GB2312" w:cs="Times New Roman"/>
                <w:sz w:val="32"/>
                <w:szCs w:val="3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对《条</w:t>
            </w:r>
          </w:p>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例》和</w:t>
            </w:r>
          </w:p>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实施细</w:t>
            </w:r>
          </w:p>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则有关</w:t>
            </w:r>
          </w:p>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变更登</w:t>
            </w:r>
          </w:p>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记规定</w:t>
            </w:r>
          </w:p>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的执行</w:t>
            </w:r>
          </w:p>
          <w:p>
            <w:pPr>
              <w:jc w:val="center"/>
              <w:rPr>
                <w:rFonts w:hint="default" w:ascii="Times New Roman" w:hAnsi="Times New Roman" w:eastAsia="楷体_GB2312" w:cs="Times New Roman"/>
                <w:kern w:val="2"/>
                <w:sz w:val="32"/>
                <w:szCs w:val="32"/>
              </w:rPr>
            </w:pPr>
            <w:r>
              <w:rPr>
                <w:rFonts w:hint="eastAsia" w:ascii="楷体_GB2312" w:hAnsi="Times New Roman" w:eastAsia="楷体_GB2312" w:cs="楷体_GB2312"/>
                <w:b/>
                <w:bCs/>
                <w:kern w:val="2"/>
                <w:sz w:val="32"/>
                <w:szCs w:val="32"/>
              </w:rPr>
              <w:t>情</w:t>
            </w:r>
            <w:r>
              <w:rPr>
                <w:rFonts w:hint="default" w:ascii="Times New Roman" w:hAnsi="Times New Roman" w:eastAsia="楷体_GB2312" w:cs="Times New Roman"/>
                <w:b/>
                <w:bCs/>
                <w:kern w:val="2"/>
                <w:sz w:val="32"/>
                <w:szCs w:val="32"/>
              </w:rPr>
              <w:t xml:space="preserve">  </w:t>
            </w:r>
            <w:r>
              <w:rPr>
                <w:rFonts w:hint="eastAsia" w:ascii="楷体_GB2312" w:hAnsi="Times New Roman" w:eastAsia="楷体_GB2312" w:cs="楷体_GB2312"/>
                <w:b/>
                <w:bCs/>
                <w:kern w:val="2"/>
                <w:sz w:val="32"/>
                <w:szCs w:val="32"/>
              </w:rPr>
              <w:t>况</w:t>
            </w:r>
          </w:p>
        </w:tc>
        <w:tc>
          <w:tcPr>
            <w:tcW w:w="7981" w:type="dxa"/>
            <w:gridSpan w:val="4"/>
            <w:tcBorders>
              <w:top w:val="single" w:color="auto" w:sz="12" w:space="0"/>
              <w:left w:val="nil"/>
              <w:bottom w:val="single" w:color="auto" w:sz="4" w:space="0"/>
              <w:right w:val="single" w:color="auto" w:sz="12" w:space="0"/>
            </w:tcBorders>
            <w:shd w:val="clear" w:color="auto" w:fill="auto"/>
            <w:vAlign w:val="top"/>
          </w:tcPr>
          <w:p>
            <w:pPr>
              <w:spacing w:line="320" w:lineRule="exact"/>
              <w:rPr>
                <w:rFonts w:hint="eastAsia" w:ascii="楷体_GB2312" w:hAnsi="Times New Roman" w:eastAsia="楷体_GB2312" w:cs="楷体_GB2312"/>
                <w:kern w:val="2"/>
                <w:sz w:val="28"/>
                <w:szCs w:val="28"/>
              </w:rPr>
            </w:pPr>
            <w:r>
              <w:rPr>
                <w:rStyle w:val="23"/>
                <w:rFonts w:hint="eastAsia" w:ascii="楷体_GB2312" w:hAnsi="Times New Roman" w:eastAsia="楷体_GB2312" w:cs="楷体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开</w:t>
            </w:r>
          </w:p>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展</w:t>
            </w:r>
          </w:p>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业</w:t>
            </w:r>
          </w:p>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务</w:t>
            </w:r>
          </w:p>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活</w:t>
            </w:r>
          </w:p>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动</w:t>
            </w:r>
          </w:p>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情</w:t>
            </w:r>
          </w:p>
          <w:p>
            <w:pPr>
              <w:jc w:val="center"/>
              <w:rPr>
                <w:rFonts w:hint="default" w:ascii="Times New Roman" w:hAnsi="Times New Roman" w:eastAsia="宋体" w:cs="Times New Roman"/>
                <w:kern w:val="2"/>
                <w:sz w:val="21"/>
                <w:szCs w:val="21"/>
                <w:u w:val="single"/>
              </w:rPr>
            </w:pPr>
            <w:r>
              <w:rPr>
                <w:rFonts w:hint="eastAsia" w:ascii="楷体_GB2312" w:hAnsi="Times New Roman" w:eastAsia="楷体_GB2312" w:cs="楷体_GB2312"/>
                <w:b/>
                <w:bCs/>
                <w:kern w:val="2"/>
                <w:sz w:val="32"/>
                <w:szCs w:val="32"/>
              </w:rPr>
              <w:t>况</w:t>
            </w:r>
          </w:p>
        </w:tc>
        <w:tc>
          <w:tcPr>
            <w:tcW w:w="7981" w:type="dxa"/>
            <w:gridSpan w:val="4"/>
            <w:tcBorders>
              <w:top w:val="single" w:color="auto" w:sz="4" w:space="0"/>
              <w:left w:val="nil"/>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hAnsi="Times New Roman" w:eastAsia="楷体_GB2312" w:cs="楷体_GB2312"/>
                <w:kern w:val="2"/>
                <w:sz w:val="28"/>
                <w:szCs w:val="28"/>
              </w:rPr>
            </w:pPr>
            <w:r>
              <w:rPr>
                <w:rStyle w:val="23"/>
                <w:rFonts w:hint="eastAsia" w:ascii="楷体_GB2312" w:hAnsi="Times New Roman" w:eastAsia="楷体_GB2312" w:cs="楷体_GB2312"/>
                <w:sz w:val="28"/>
                <w:szCs w:val="28"/>
              </w:rPr>
              <w:t>2022年我校在高新区（新市区）教育局的正确领导下，全面贯彻党的教育方针，坚持以办人民满意教育为标准，坚持依法治校，在学生养成教育和教育教学等方面都取得了一定的成绩，现将一年工作情况做以下总结： 一 、加强思政建设，为立德树人教育教学保驾护航。 （一）是加强学习建设。在党支部统一安排组织下，我们坚持每周三全体教师政治学习制度，每周四全体党员集体学习制度。从初心教育到党史学习，从十九届历次全会到二十大召开，从治疆方略到治国理政，从全教会精神到思政教师座谈会，从</w:t>
            </w:r>
            <w:r>
              <w:rPr>
                <w:rStyle w:val="23"/>
                <w:rFonts w:hint="eastAsia" w:ascii="楷体_GB2312" w:eastAsia="楷体_GB2312" w:cs="楷体_GB2312"/>
                <w:sz w:val="28"/>
                <w:szCs w:val="28"/>
                <w:lang w:eastAsia="zh-CN"/>
              </w:rPr>
              <w:t>习近平总书记</w:t>
            </w:r>
            <w:r>
              <w:rPr>
                <w:rStyle w:val="23"/>
                <w:rFonts w:hint="eastAsia" w:ascii="楷体_GB2312" w:hAnsi="Times New Roman" w:eastAsia="楷体_GB2312" w:cs="楷体_GB2312"/>
                <w:sz w:val="28"/>
                <w:szCs w:val="28"/>
              </w:rPr>
              <w:t>关于教育的重要论述到系列讲话精神，从法制安全到意识形态，学习做到有计划、有目的、有准备、有研讨、有交流。采用学原文、讨论、写心得、交流分享、竞赛答题、参观等多种形式，注重学习的实效性和形式的多样性。班子层面抓中层干部学习，突出廉政教育；党员层面抓党课学习，突出政治教育；教师层面抓政治学习，突出思想教育；学生层面抓立德树人，突出行为养成。通过不断学习，全体教师员工统一了思想，散漫习惯得到改观，师生精神面貌有了明显变化。 （二）是突出红色教育。党支部利用党日活动先后组织全体党员参观北大路红色文化教育基地，昌吉红色收藏红色记忆展览馆，自治区美术馆党史文化展厅，烈士陵园祭扫活动，六十户千亩海棠园生态展，自治区艺术剧院观看《丰碑</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党的好干部》音乐剧表演。学生层面因疫情影响线上线下结合开展</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我与祖国同在</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我为党来唱之歌</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五四团课，六一诗朗诵等活动，通过唱红歌、重温誓词、座谈等形式进行国情教育、革命传统教育、优秀传统文化教育和爱国主义教育，增强了全体党员师生立足本职、奋发工作的责任感和使命感，切实发挥好共产党员的先锋模范作用。 （三）是深刻领会，让二十大精神落地生根。为了</w:t>
            </w:r>
            <w:r>
              <w:rPr>
                <w:rStyle w:val="23"/>
                <w:rFonts w:hint="eastAsia" w:ascii="楷体_GB2312" w:eastAsia="楷体_GB2312" w:cs="楷体_GB2312"/>
                <w:sz w:val="28"/>
                <w:szCs w:val="28"/>
                <w:lang w:eastAsia="zh-CN"/>
              </w:rPr>
              <w:t>全面贯彻落实党的二十大精神</w:t>
            </w:r>
            <w:r>
              <w:rPr>
                <w:rStyle w:val="23"/>
                <w:rFonts w:hint="eastAsia" w:ascii="楷体_GB2312" w:hAnsi="Times New Roman" w:eastAsia="楷体_GB2312" w:cs="楷体_GB2312"/>
                <w:sz w:val="28"/>
                <w:szCs w:val="28"/>
              </w:rPr>
              <w:t>，我校班子成员、中层、班主任代表、教研组长组建宣讲团，每周一宣讲，通过每周线上升国旗仪式每周对全体学生进行宣讲活动，截至目前，宣讲15场；工会做好每周三线上学习计划，发布学习内容，教师做好笔记，撰写心得。全体党员继续做好每日自学，按照党办安排撰写交流发言，按时研讨交流。全体党员和教职工对二十大精神有了更加深刻、更加清晰的理解。 二、坚持德育为首，努力增强德育工作针对性和实效性。 1、加强德育队伍建设。组织全体教职工深入学习《中小学德育工作指南》《新时代爱国主义教育实施纲要》《新时代公民道德建设实施纲要》《中小学教育惩戒规则（试行）》《教育部办公厅关于加强中小学生手机管理工作的通知》等有关内容，牢固树立</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以人为本 德育为先 全员育人</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观念，进一步明确德育工作者的工作职责，增强每一位老师的工作责任感、使命感，规范制度，强化管理。 2、定期召开班主任例会，总结、安排德育工作，做到工作有部署、有安排、有小结、有反思。 3、注重班主任的思想教育。为打造新时代班主任，增强班主任队伍的合力，提高班级管理水平，我校组织班主任系统深入学习科学的班级管理方法，班主任出现思想方面的问题及时谈心、沟通。 4、继续深化德育管理，提升学生文明素养。加强学生文明礼仪教育。通过主题班（队）会、红领巾广播站、国旗下讲话等对学生进行文明礼仪的宣传和教育，加大检查力度，及时反馈，督促整改。 认真抓好校风、班风建设，规范学生仪容仪表，加强学校文明班级建设，培养学生在家庭、在学校、在社会的良好习惯。 5、开展了专题系列宣讲活动。各班级召开了</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致敬英雄</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的主题班（队）会，各班级纷纷以名人典故、红色先烈英雄事迹、经典诗词、优秀传统文化、习近平新时代中国特色社会主义思想等为切入点，通过讲故事、演讲、看视频、诗朗诵、手抄小报、随笔、散文、诗歌、读书心得等喜闻乐见的系列活动，宣传习近平等多种让学生易于理解的形式开展活动。组织学生开展了</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童心向党</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喜迎二十大 永远跟党走 奋进新征程</w:t>
            </w:r>
            <w:r>
              <w:rPr>
                <w:rStyle w:val="23"/>
                <w:rFonts w:hint="default" w:ascii="Times New Roman" w:hAnsi="Times New Roman" w:eastAsia="楷体_GB2312" w:cs="Times New Roman"/>
                <w:sz w:val="28"/>
                <w:szCs w:val="28"/>
              </w:rPr>
              <w:t>” “</w:t>
            </w:r>
            <w:r>
              <w:rPr>
                <w:rStyle w:val="23"/>
                <w:rFonts w:hint="eastAsia" w:ascii="楷体_GB2312" w:hAnsi="Times New Roman" w:eastAsia="楷体_GB2312" w:cs="楷体_GB2312"/>
                <w:sz w:val="28"/>
                <w:szCs w:val="28"/>
              </w:rPr>
              <w:t>学雷锋</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等系列主题活动。习近平新时代中国特色社会主义思想进学生头脑，积极争做社会主义建设者和合格接班人。 6、继续加强中华优秀传统文化教育。加强传统美德教育，开展</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讲文明懂礼仪</w:t>
            </w:r>
            <w:r>
              <w:rPr>
                <w:rStyle w:val="23"/>
                <w:rFonts w:hint="default" w:ascii="Times New Roman" w:hAnsi="Times New Roman" w:eastAsia="楷体_GB2312" w:cs="Times New Roman"/>
                <w:sz w:val="28"/>
                <w:szCs w:val="28"/>
              </w:rPr>
              <w:t xml:space="preserve">” </w:t>
            </w:r>
            <w:r>
              <w:rPr>
                <w:rStyle w:val="23"/>
                <w:rFonts w:hint="eastAsia" w:ascii="楷体_GB2312" w:hAnsi="Times New Roman" w:eastAsia="楷体_GB2312" w:cs="楷体_GB2312"/>
                <w:sz w:val="28"/>
                <w:szCs w:val="28"/>
              </w:rPr>
              <w:t>、</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文明礼仪习惯</w:t>
            </w:r>
            <w:bookmarkStart w:id="0" w:name="_GoBack"/>
            <w:bookmarkEnd w:id="0"/>
            <w:r>
              <w:rPr>
                <w:rStyle w:val="23"/>
                <w:rFonts w:hint="eastAsia" w:ascii="楷体_GB2312" w:hAnsi="Times New Roman" w:eastAsia="楷体_GB2312" w:cs="楷体_GB2312"/>
                <w:sz w:val="28"/>
                <w:szCs w:val="28"/>
              </w:rPr>
              <w:t>养成教育</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活动。通过主题班会、国旗下讲话等宣传方式，让学生感受礼仪之美，养成</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讲文明、懂礼貌、有道德</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的良好品格和行为习惯。重视传统节日教育，利用</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三八</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妇女节、母亲节、父亲节等节日，积极挖掘这些节日中的德育元素，开展感恩道德实践活动。 7、坚持德治与法治相结合。为切实加强依法治校工作，提高广大师生法律意识，提供践行法律义务的自觉性和能力，在3月10日，邀请法制副校长来校开展法制教育讲座，了解国家安全、未成年人保护法等相关法律知识；在3月15日消费者权益保护日，我校开展了主题班会、黑板报、手抄报、征文活动。12月利用宪法宣传周，宪法宣传日开展了一系列宪法宣传活动。通过以上活动，学生的法律意识得到提高，为学生提供践行法律义务的自觉性和主动性，也为今后更好地依法治校打下了坚实的基础。 8、积极推进和谐家庭教育工作，形成学校、家庭、社会三位一体教育合力。学校建立、完善了家长学校的运行机制，成立了学校层面的家长委员会和班级家长委员会。定期开展线上家长会。我校在学期初、期中和期末定期召开线上家长会。扎实开展</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万名教师大家访</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活动。此次家访将班里单亲、贫困、学困、孤儿、残疾儿童、少数民族家庭子女作为重点对象。向广大家长宣传党的教育方针政策、《家庭教育促进法》；宣传假期安全教育注意事项；反馈学生在校的学习、生活情况和思想表现；了解学生家庭教育的状况。向家长宣传家庭教育的重要性，讲解建立亲子关系。通过线上家访，使家校联系工作更加深入，家长对班主任工作有了更进一步的了解和认识，班主任对学生家庭等多方面也有了进一步的了解。积极组织学生参加社会实践活动，提高学生社会实践能力。 9、开展丰富多彩的读书活动，营造浓厚书香校园氛围。为进一步践行习近平总书记</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读书不仅要有明确的目标，有不移的恒心，还要提高读书效率和质量，讲求读书方法和技巧，在爱读书，勤读书，读好书，善读书中提高思想水平，解决实际问题，实现自我超越</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的思想，学校开展了</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学习新思想，做好接班人</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读书日</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集体朗诵活动。各班级召开</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读好书</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的主题班会，倡导师生一起读好书，互相分享好书。 10、加强心理健康教育，塑造健康心灵。心理健康教师通过课堂教学与课后个体辅导、团体辅导相结合，向学生讲述心理健康教育的意义，做到有计划、有记录、有措施，尤其针对防疫特殊时期里学生产生的心理焦虑问题，心理健康教师对学生进行疏导。在4月-5月期间，心理健康教师进班对七八年级学生进行了生命安全教育，教育学生要热爱生命、珍惜生命。5月下旬和6月初，在九年级、六年级学生中开展了考前解压团辅活动。 11、关爱特殊群体学生。学期初对家庭贫困等特殊群体学生进行摸底排查，并制定相关帮扶制度及措施。上半年对55名贫困生，下半年对47名贫困学生办理了家庭经济困难生补助，为更多的特殊学生提供帮助，确保他们完成九年义务教育。 三、落实学校教育教学工作计划精神，加强课堂教学的过程管理，规范教师的教学行为。 1、完成基础报表、学籍管理、招生、教材征订工作。 2、狠抓教学常规工作。认真抓好教师线上教学计划、备课、上课、作业批改等教学各个环节的检查。学期末统一检查教师教案，并对检查情况做了详细反馈。 3、开展了1次</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线上授课</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工作教师摸底调查，通过调查发现教师的线上授课设备、授课资源相对不足，线上教学手段掌握不熟练。联系相关人员对教师进行线上授课技术使用的相关培训，提高了教师线上授课的能力水平。 4加强了教学常规、课堂教学的整顿，安排专人不定时对教师的线上授课、作业提交情况、作业批改等方面进行检查。针对不同阶段出现的问题及时向教师进行反馈并提出相关建议。 5、做好线上期末教学质量监测及九年级的线下质量检测工作。制定相关的线上、线下教学质量测试的方案、安排教师制定测试卷并审核、对检测过程进行督察保证测试成绩的真实性。 四、教研先导，有计划地开展了线上教研活动。 1、领导重视、措施有力。为做好学校线上教研工作，切实加强对线上教研工作的管理，开学初制定了《112中学线上教学基本要求》，要求全体教师严格执行并落实，开学初学校校级领导、中层干部进入各班级，每天进行巡课，校级领导共听课173节，参加和指导教研活动31次；学校教研室、教务处共听课60节，参加各组教研活动15次，有序地组织教师开展线上教研活动。学理论、强业务。 2、教师的学习提高是发展教育、提高教学质量的关键。按照教研室的要求，各教研组组织教师认真做好业务理论学习。开学初各教研组进行《新课标》理论学习研讨，全学期小学语文、小学数学、中小学英语、初中语文、初中数学、初中道德与法治、初中化学等科目的教师一直在参加区、市级教材培训，对重大理论中指导进行反复学习，把学习的过程作为进一步转变教学观念和提升方法的过程，不断提高理论水平与理论修养。 3、抓常规、促成长。加强线上教学常规管理，是落实教学计划的根本保证。因此，教研室始终认真落实教线上教学常规管理组织教学。认真制定教学计划，坚持线上听课并及时反馈；坚持业务学习；坚持线上研讨；配合教务处组织阶段性测试，以保证线上教学扎实有效。 4、丰富多彩教科研月。各教研组积极响应学校号召，分别开展了：经典诗文吟诵大赛、歌唱比赛、英语思维导图比赛、低年级口算比赛、跳绳比赛等学生活动；开展了组内公开课、优质课、集体备课等教研专题活动。本学期教科研月召开线上教研组长会议4次，教研室线上听课40节，各教研组长分别听课20节。通过一系列教研活动的开展，使我校教师的专业技能与职业素质得到了一定提升。组织教师学习区教研室和学校推送的优秀课例。要求教研组开展线上研讨之前，要认真学习相关的高效课堂实录、教学设计及其他资料，做到有的放矢，提高线上教研的实效性。 5、完成期末各项教学任务，做到有始有终。根据教学计划，教研室对教师上课采取自查与互查、检查相结合的方式，从线上听课、作业、学习笔记等方面 进行了组内中期教学检查，并将检查信息及时反馈给各科任课教师，使各科任课教师不断完善自己的教学活动，做到教学相长。 6、加强绿化管理，教育学生自觉爱护校园绿化，经常督促对学校的花草树木浇水，并修剪树木，极力打造出了一个良好的育人环境。 五、下一步计划 1、要结合</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五个好</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党支部建设工作，提高认识，创新党建工作的思想观念，深刻认识新形势、新任务对基层党建工作的新要求。 2、强化管理，健全党建工作机制。书记要负起学校党建第一责任人的责任，把党建作为学校整体工作的重要组成部分，统筹安排，定期研究，同安排同部署。 3、要结合</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四个合格</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党员标准，认真落实</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三会一课</w:t>
            </w:r>
            <w:r>
              <w:rPr>
                <w:rStyle w:val="23"/>
                <w:rFonts w:hint="default" w:ascii="Times New Roman" w:hAnsi="Times New Roman" w:eastAsia="楷体_GB2312" w:cs="Times New Roman"/>
                <w:sz w:val="28"/>
                <w:szCs w:val="28"/>
              </w:rPr>
              <w:t>”</w:t>
            </w:r>
            <w:r>
              <w:rPr>
                <w:rStyle w:val="23"/>
                <w:rFonts w:hint="eastAsia" w:ascii="楷体_GB2312" w:hAnsi="Times New Roman" w:eastAsia="楷体_GB2312" w:cs="楷体_GB2312"/>
                <w:sz w:val="28"/>
                <w:szCs w:val="28"/>
              </w:rPr>
              <w:t xml:space="preserve">制度，加强对党员的教育管理，要把对党员的管理与实行目标管理有机结合起来，努力提高党员的综合素质和能力水平。 4、立足本职，丰富工作内容。要围绕学校党的中心工作，把促进教育高质量发展和三件大事紧密结合，作为加强和改进学校工作的出发点和落脚点，要在化解矛盾、理顺关系，调动积极性等方面来体现学校工作的成效，推进学校的建设。 </w:t>
            </w:r>
          </w:p>
          <w:p>
            <w:pPr>
              <w:autoSpaceDE w:val="0"/>
              <w:autoSpaceDN w:val="0"/>
              <w:adjustRightInd w:val="0"/>
              <w:snapToGrid w:val="0"/>
              <w:spacing w:line="360" w:lineRule="auto"/>
              <w:rPr>
                <w:rFonts w:hint="eastAsia" w:ascii="楷体_GB2312" w:hAnsi="Times New Roman" w:eastAsia="楷体_GB2312" w:cs="楷体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相关资质认可或执业许可证明文件及有效期</w:t>
            </w:r>
          </w:p>
        </w:tc>
        <w:tc>
          <w:tcPr>
            <w:tcW w:w="7981" w:type="dxa"/>
            <w:gridSpan w:val="4"/>
            <w:tcBorders>
              <w:top w:val="single" w:color="auto" w:sz="12" w:space="0"/>
              <w:left w:val="nil"/>
              <w:bottom w:val="single" w:color="auto" w:sz="4" w:space="0"/>
              <w:right w:val="single" w:color="auto" w:sz="12" w:space="0"/>
            </w:tcBorders>
            <w:shd w:val="clear" w:color="auto" w:fill="auto"/>
            <w:vAlign w:val="top"/>
          </w:tcPr>
          <w:p>
            <w:pPr>
              <w:spacing w:line="320" w:lineRule="exact"/>
              <w:rPr>
                <w:rFonts w:hint="eastAsia" w:ascii="楷体_GB2312" w:hAnsi="Times New Roman" w:eastAsia="楷体_GB2312" w:cs="楷体_GB2312"/>
                <w:kern w:val="2"/>
                <w:sz w:val="28"/>
                <w:szCs w:val="28"/>
              </w:rPr>
            </w:pPr>
            <w:r>
              <w:rPr>
                <w:rStyle w:val="23"/>
                <w:rFonts w:hint="eastAsia" w:ascii="楷体_GB2312" w:hAnsi="Times New Roman" w:eastAsia="楷体_GB2312" w:cs="楷体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rPr>
                <w:rFonts w:hint="default" w:ascii="Times New Roman" w:hAnsi="Times New Roman" w:eastAsia="宋体" w:cs="Times New Roman"/>
                <w:kern w:val="2"/>
                <w:sz w:val="21"/>
                <w:szCs w:val="21"/>
              </w:rPr>
            </w:pPr>
            <w:r>
              <w:rPr>
                <w:rFonts w:hint="eastAsia" w:ascii="楷体_GB2312" w:hAnsi="Times New Roman" w:eastAsia="楷体_GB2312" w:cs="楷体_GB2312"/>
                <w:b/>
                <w:bCs/>
                <w:kern w:val="2"/>
                <w:sz w:val="32"/>
                <w:szCs w:val="32"/>
              </w:rPr>
              <w:t>绩</w:t>
            </w:r>
            <w:r>
              <w:rPr>
                <w:rFonts w:hint="default" w:ascii="Times New Roman" w:hAnsi="Times New Roman" w:eastAsia="楷体_GB2312" w:cs="Times New Roman"/>
                <w:b/>
                <w:bCs/>
                <w:kern w:val="2"/>
                <w:sz w:val="32"/>
                <w:szCs w:val="32"/>
              </w:rPr>
              <w:t> </w:t>
            </w:r>
            <w:r>
              <w:rPr>
                <w:rFonts w:hint="eastAsia" w:ascii="楷体_GB2312" w:hAnsi="Times New Roman" w:eastAsia="楷体_GB2312" w:cs="楷体_GB2312"/>
                <w:b/>
                <w:bCs/>
                <w:kern w:val="2"/>
                <w:sz w:val="32"/>
                <w:szCs w:val="32"/>
              </w:rPr>
              <w:t>效</w:t>
            </w:r>
            <w:r>
              <w:rPr>
                <w:rFonts w:hint="default" w:ascii="Times New Roman" w:hAnsi="Times New Roman" w:eastAsia="楷体_GB2312" w:cs="Times New Roman"/>
                <w:b/>
                <w:bCs/>
                <w:kern w:val="2"/>
                <w:sz w:val="32"/>
                <w:szCs w:val="32"/>
              </w:rPr>
              <w:t> </w:t>
            </w:r>
            <w:r>
              <w:rPr>
                <w:rFonts w:hint="eastAsia" w:ascii="楷体_GB2312" w:hAnsi="Times New Roman" w:eastAsia="楷体_GB2312" w:cs="楷体_GB2312"/>
                <w:b/>
                <w:bCs/>
                <w:kern w:val="2"/>
                <w:sz w:val="32"/>
                <w:szCs w:val="32"/>
              </w:rPr>
              <w:t>和受奖惩及诉讼投诉情</w:t>
            </w:r>
            <w:r>
              <w:rPr>
                <w:rFonts w:hint="default" w:ascii="Times New Roman" w:hAnsi="Times New Roman" w:eastAsia="楷体_GB2312" w:cs="Times New Roman"/>
                <w:b/>
                <w:bCs/>
                <w:kern w:val="2"/>
                <w:sz w:val="32"/>
                <w:szCs w:val="32"/>
              </w:rPr>
              <w:t xml:space="preserve">    </w:t>
            </w:r>
            <w:r>
              <w:rPr>
                <w:rFonts w:hint="eastAsia" w:ascii="楷体_GB2312" w:hAnsi="Times New Roman" w:eastAsia="楷体_GB2312" w:cs="楷体_GB2312"/>
                <w:b/>
                <w:bCs/>
                <w:kern w:val="2"/>
                <w:sz w:val="32"/>
                <w:szCs w:val="32"/>
              </w:rPr>
              <w:t>况</w:t>
            </w:r>
          </w:p>
        </w:tc>
        <w:tc>
          <w:tcPr>
            <w:tcW w:w="7981" w:type="dxa"/>
            <w:gridSpan w:val="4"/>
            <w:tcBorders>
              <w:top w:val="single" w:color="auto" w:sz="4" w:space="0"/>
              <w:left w:val="nil"/>
              <w:bottom w:val="single" w:color="auto" w:sz="4" w:space="0"/>
              <w:right w:val="single" w:color="auto" w:sz="12" w:space="0"/>
            </w:tcBorders>
            <w:shd w:val="clear" w:color="auto" w:fill="auto"/>
            <w:vAlign w:val="top"/>
          </w:tcPr>
          <w:p>
            <w:pPr>
              <w:jc w:val="left"/>
              <w:rPr>
                <w:rFonts w:hint="default" w:ascii="Times New Roman" w:hAnsi="Times New Roman" w:eastAsia="宋体" w:cs="Times New Roman"/>
                <w:kern w:val="2"/>
                <w:sz w:val="21"/>
                <w:szCs w:val="21"/>
              </w:rPr>
            </w:pPr>
            <w:r>
              <w:rPr>
                <w:rStyle w:val="23"/>
                <w:rFonts w:hint="eastAsia" w:ascii="楷体_GB2312" w:hAnsi="Times New Roman" w:eastAsia="楷体_GB2312" w:cs="楷体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接受捐赠</w:t>
            </w:r>
          </w:p>
          <w:p>
            <w:pPr>
              <w:spacing w:line="0" w:lineRule="atLeast"/>
              <w:rPr>
                <w:rFonts w:hint="default" w:ascii="Times New Roman" w:hAnsi="Times New Roman" w:eastAsia="宋体" w:cs="Times New Roman"/>
                <w:kern w:val="2"/>
                <w:sz w:val="21"/>
                <w:szCs w:val="21"/>
              </w:rPr>
            </w:pPr>
            <w:r>
              <w:rPr>
                <w:rFonts w:hint="eastAsia" w:ascii="楷体_GB2312" w:hAnsi="Times New Roman" w:eastAsia="楷体_GB2312" w:cs="楷体_GB2312"/>
                <w:b/>
                <w:bCs/>
                <w:kern w:val="2"/>
                <w:sz w:val="32"/>
                <w:szCs w:val="32"/>
              </w:rPr>
              <w:t>资助及使用</w:t>
            </w:r>
            <w:r>
              <w:rPr>
                <w:rFonts w:hint="default" w:ascii="Times New Roman" w:hAnsi="Times New Roman" w:eastAsia="楷体_GB2312" w:cs="Times New Roman"/>
                <w:b/>
                <w:bCs/>
                <w:kern w:val="2"/>
                <w:sz w:val="32"/>
                <w:szCs w:val="32"/>
              </w:rPr>
              <w:t> </w:t>
            </w:r>
            <w:r>
              <w:rPr>
                <w:rFonts w:hint="eastAsia" w:ascii="楷体_GB2312" w:hAnsi="Times New Roman" w:eastAsia="楷体_GB2312" w:cs="楷体_GB2312"/>
                <w:b/>
                <w:bCs/>
                <w:kern w:val="2"/>
                <w:sz w:val="32"/>
                <w:szCs w:val="32"/>
              </w:rPr>
              <w:t>情</w:t>
            </w:r>
            <w:r>
              <w:rPr>
                <w:rFonts w:hint="default" w:ascii="Times New Roman" w:hAnsi="Times New Roman" w:eastAsia="楷体_GB2312" w:cs="Times New Roman"/>
                <w:b/>
                <w:bCs/>
                <w:kern w:val="2"/>
                <w:sz w:val="32"/>
                <w:szCs w:val="32"/>
              </w:rPr>
              <w:t> </w:t>
            </w:r>
            <w:r>
              <w:rPr>
                <w:rFonts w:hint="eastAsia" w:ascii="楷体_GB2312" w:hAnsi="Times New Roman" w:eastAsia="楷体_GB2312" w:cs="楷体_GB2312"/>
                <w:b/>
                <w:bCs/>
                <w:kern w:val="2"/>
                <w:sz w:val="32"/>
                <w:szCs w:val="32"/>
              </w:rPr>
              <w:t>况</w:t>
            </w:r>
          </w:p>
        </w:tc>
        <w:tc>
          <w:tcPr>
            <w:tcW w:w="7981" w:type="dxa"/>
            <w:gridSpan w:val="4"/>
            <w:tcBorders>
              <w:top w:val="single" w:color="auto" w:sz="4" w:space="0"/>
              <w:left w:val="nil"/>
              <w:bottom w:val="single" w:color="auto" w:sz="12" w:space="0"/>
              <w:right w:val="single" w:color="auto" w:sz="12" w:space="0"/>
            </w:tcBorders>
            <w:shd w:val="clear" w:color="auto" w:fill="auto"/>
            <w:vAlign w:val="top"/>
          </w:tcPr>
          <w:p>
            <w:pPr>
              <w:jc w:val="left"/>
              <w:rPr>
                <w:rFonts w:hint="default" w:ascii="Times New Roman" w:hAnsi="Times New Roman" w:eastAsia="宋体" w:cs="Times New Roman"/>
                <w:kern w:val="2"/>
                <w:sz w:val="21"/>
                <w:szCs w:val="21"/>
              </w:rPr>
            </w:pPr>
            <w:r>
              <w:rPr>
                <w:rStyle w:val="23"/>
                <w:rFonts w:hint="eastAsia" w:ascii="楷体_GB2312" w:hAnsi="Times New Roman" w:eastAsia="楷体_GB2312" w:cs="楷体_GB2312"/>
                <w:sz w:val="28"/>
                <w:szCs w:val="28"/>
              </w:rPr>
              <w:t>无</w:t>
            </w:r>
          </w:p>
        </w:tc>
      </w:tr>
    </w:tbl>
    <w:p>
      <w:pPr>
        <w:jc w:val="left"/>
        <w:rPr>
          <w:rFonts w:hint="eastAsia" w:ascii="楷体_GB2312" w:hAnsi="Times New Roman" w:eastAsia="楷体_GB2312" w:cs="楷体_GB2312"/>
          <w:b/>
          <w:bCs/>
          <w:kern w:val="2"/>
          <w:sz w:val="28"/>
          <w:szCs w:val="28"/>
        </w:rPr>
      </w:pPr>
      <w:r>
        <w:rPr>
          <w:rFonts w:hint="eastAsia" w:ascii="楷体_GB2312" w:hAnsi="Times New Roman" w:eastAsia="楷体_GB2312" w:cs="楷体_GB2312"/>
          <w:b/>
          <w:bCs/>
          <w:kern w:val="2"/>
          <w:sz w:val="28"/>
          <w:szCs w:val="28"/>
        </w:rPr>
        <w:t xml:space="preserve">填表人： </w:t>
      </w:r>
      <w:r>
        <w:rPr>
          <w:rStyle w:val="18"/>
          <w:rFonts w:hint="eastAsia" w:ascii="楷体_GB2312" w:hAnsi="Times New Roman" w:eastAsia="楷体_GB2312" w:cs="楷体_GB2312"/>
          <w:sz w:val="28"/>
          <w:szCs w:val="28"/>
        </w:rPr>
        <w:t>毛俊</w:t>
      </w:r>
      <w:r>
        <w:rPr>
          <w:rFonts w:hint="eastAsia" w:ascii="楷体_GB2312" w:hAnsi="Times New Roman" w:eastAsia="楷体_GB2312" w:cs="楷体_GB2312"/>
          <w:b/>
          <w:bCs/>
          <w:kern w:val="2"/>
          <w:sz w:val="28"/>
          <w:szCs w:val="28"/>
        </w:rPr>
        <w:t xml:space="preserve">  </w:t>
      </w:r>
      <w:r>
        <w:rPr>
          <w:rStyle w:val="18"/>
          <w:rFonts w:hint="eastAsia" w:ascii="楷体_GB2312" w:hAnsi="Times New Roman" w:eastAsia="楷体_GB2312" w:cs="楷体_GB2312"/>
          <w:sz w:val="28"/>
          <w:szCs w:val="28"/>
        </w:rPr>
        <w:t xml:space="preserve">  </w:t>
      </w:r>
      <w:r>
        <w:rPr>
          <w:rFonts w:hint="eastAsia" w:ascii="楷体_GB2312" w:hAnsi="Times New Roman" w:eastAsia="楷体_GB2312" w:cs="楷体_GB2312"/>
          <w:b/>
          <w:bCs/>
          <w:kern w:val="2"/>
          <w:sz w:val="28"/>
          <w:szCs w:val="28"/>
        </w:rPr>
        <w:t>报送日期：</w:t>
      </w:r>
      <w:r>
        <w:rPr>
          <w:rStyle w:val="18"/>
          <w:rFonts w:hint="eastAsia" w:ascii="楷体_GB2312" w:hAnsi="Times New Roman" w:eastAsia="楷体_GB2312" w:cs="楷体_GB2312"/>
          <w:b/>
          <w:bCs/>
          <w:sz w:val="28"/>
          <w:szCs w:val="28"/>
        </w:rPr>
        <w:t>2023年03月02日</w:t>
      </w:r>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24470DD4"/>
    <w:rsid w:val="5E4D66AB"/>
    <w:rsid w:val="7AFB1D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qFormat="1" w:unhideWhenUsed="0" w:uiPriority="35"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uiPriority="99"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styleId="2">
    <w:name w:val="heading 1"/>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uiPriority w:val="99"/>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uiPriority w:val="99"/>
    <w:pPr>
      <w:keepNext w:val="0"/>
      <w:keepLines w:val="0"/>
      <w:widowControl w:val="0"/>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iPriority w:val="99"/>
    <w:pPr>
      <w:widowControl/>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22"/>
    <w:basedOn w:val="13"/>
    <w:uiPriority w:val="0"/>
    <w:rPr>
      <w:rFonts w:hint="default" w:ascii="Times New Roman" w:hAnsi="Times New Roman" w:eastAsia="宋体" w:cs="Times New Roman"/>
      <w:sz w:val="18"/>
      <w:szCs w:val="18"/>
    </w:rPr>
  </w:style>
  <w:style w:type="character" w:customStyle="1" w:styleId="15">
    <w:name w:val="10"/>
    <w:basedOn w:val="13"/>
    <w:qFormat/>
    <w:uiPriority w:val="0"/>
    <w:rPr>
      <w:rFonts w:hint="default" w:ascii="Times New Roman" w:hAnsi="Times New Roman" w:cs="Times New Roman"/>
    </w:rPr>
  </w:style>
  <w:style w:type="character" w:customStyle="1" w:styleId="16">
    <w:name w:val="15"/>
    <w:basedOn w:val="13"/>
    <w:autoRedefine/>
    <w:qFormat/>
    <w:uiPriority w:val="0"/>
    <w:rPr>
      <w:rFonts w:hint="default" w:ascii="Times New Roman" w:hAnsi="Times New Roman" w:cs="Times New Roman"/>
    </w:rPr>
  </w:style>
  <w:style w:type="character" w:customStyle="1" w:styleId="17">
    <w:name w:val="16"/>
    <w:basedOn w:val="13"/>
    <w:uiPriority w:val="0"/>
    <w:rPr>
      <w:rFonts w:hint="default" w:ascii="Times New Roman" w:hAnsi="Times New Roman" w:eastAsia="宋体" w:cs="Times New Roman"/>
      <w:sz w:val="18"/>
      <w:szCs w:val="18"/>
    </w:rPr>
  </w:style>
  <w:style w:type="character" w:customStyle="1" w:styleId="18">
    <w:name w:val="17"/>
    <w:basedOn w:val="13"/>
    <w:uiPriority w:val="0"/>
    <w:rPr>
      <w:rFonts w:hint="default" w:ascii="Times New Roman" w:hAnsi="Times New Roman" w:eastAsia="楷体_GB2312" w:cs="Times New Roman"/>
      <w:sz w:val="32"/>
      <w:szCs w:val="32"/>
    </w:rPr>
  </w:style>
  <w:style w:type="paragraph" w:customStyle="1" w:styleId="19">
    <w:name w:val="HTML 预设格式 Char"/>
    <w:basedOn w:val="1"/>
    <w:autoRedefine/>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20">
    <w:name w:val="18"/>
    <w:basedOn w:val="13"/>
    <w:uiPriority w:val="0"/>
    <w:rPr>
      <w:rFonts w:hint="default" w:ascii="Times New Roman" w:hAnsi="Times New Roman" w:cs="Times New Roman"/>
    </w:rPr>
  </w:style>
  <w:style w:type="character" w:customStyle="1" w:styleId="21">
    <w:name w:val="19"/>
    <w:basedOn w:val="13"/>
    <w:uiPriority w:val="0"/>
    <w:rPr>
      <w:rFonts w:hint="default" w:ascii="Times New Roman" w:hAnsi="Times New Roman" w:eastAsia="楷体_GB2312" w:cs="Times New Roman"/>
      <w:sz w:val="30"/>
      <w:szCs w:val="30"/>
    </w:rPr>
  </w:style>
  <w:style w:type="character" w:customStyle="1" w:styleId="22">
    <w:name w:val="20"/>
    <w:basedOn w:val="13"/>
    <w:autoRedefine/>
    <w:qFormat/>
    <w:uiPriority w:val="0"/>
    <w:rPr>
      <w:rFonts w:hint="eastAsia" w:ascii="黑体" w:hAnsi="宋体" w:eastAsia="黑体" w:cs="黑体"/>
      <w:sz w:val="36"/>
      <w:szCs w:val="36"/>
    </w:rPr>
  </w:style>
  <w:style w:type="character" w:customStyle="1" w:styleId="23">
    <w:name w:val="21"/>
    <w:basedOn w:val="13"/>
    <w:autoRedefine/>
    <w:qFormat/>
    <w:uiPriority w:val="0"/>
    <w:rPr>
      <w:rFonts w:hint="default" w:ascii="Times New Roman" w:hAnsi="Times New Roman" w:eastAsia="楷体_GB2312" w:cs="Times New Roman"/>
      <w:sz w:val="28"/>
      <w:szCs w:val="28"/>
    </w:rPr>
  </w:style>
  <w:style w:type="paragraph" w:customStyle="1" w:styleId="24">
    <w:name w:val="HTML 预设格式 Char Char"/>
    <w:basedOn w:val="1"/>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5">
    <w:name w:val="普通(网站)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10</Pages>
  <Characters>4868</Characters>
  <Lines>4</Lines>
  <Paragraphs>1</Paragraph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2024-01-24T18:08:00Z</dcterms:created>
  <dc:creator>雨林木风</dc:creator>
  <cp:lastModifiedBy>峰</cp:lastModifiedBy>
  <dcterms:modified xsi:type="dcterms:W3CDTF">2024-01-26T18:37:03Z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FF98C75A14E643449DF397C093778597_13</vt:lpwstr>
  </property>
</Properties>
</file>