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ordWrap w:val="0"/>
        <w:jc w:val="right"/>
        <w:rPr>
          <w:rFonts w:hint="eastAsia" w:ascii="楷体_GB2312" w:hAnsi="Times New Roman" w:eastAsia="楷体_GB2312" w:cs="楷体_GB2312"/>
          <w:b/>
          <w:bCs/>
          <w:kern w:val="2"/>
          <w:sz w:val="30"/>
          <w:szCs w:val="30"/>
        </w:rPr>
      </w:pPr>
      <w:r>
        <w:rPr>
          <w:rFonts w:hint="eastAsia" w:ascii="楷体_GB2312" w:hAnsi="Times New Roman" w:eastAsia="楷体_GB2312" w:cs="楷体_GB2312"/>
          <w:b/>
          <w:bCs/>
          <w:kern w:val="2"/>
          <w:sz w:val="30"/>
          <w:szCs w:val="30"/>
        </w:rPr>
        <w:t xml:space="preserve">统一社会信用代码   </w:t>
      </w:r>
    </w:p>
    <w:p>
      <w:pPr>
        <w:wordWrap w:val="0"/>
        <w:jc w:val="right"/>
        <w:rPr>
          <w:rFonts w:hint="default" w:ascii="Times New Roman" w:hAnsi="Times New Roman" w:eastAsia="楷体_GB2312" w:cs="Times New Roman"/>
          <w:b/>
          <w:bCs/>
          <w:kern w:val="2"/>
          <w:sz w:val="30"/>
          <w:szCs w:val="30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0"/>
          <w:szCs w:val="30"/>
        </w:rPr>
        <w:t xml:space="preserve">   </w:t>
      </w:r>
      <w:r>
        <w:rPr>
          <w:rStyle w:val="22"/>
          <w:rFonts w:hint="default" w:ascii="Times New Roman" w:hAnsi="Times New Roman" w:eastAsia="楷体_GB2312" w:cs="Times New Roman"/>
          <w:b/>
          <w:bCs/>
          <w:sz w:val="30"/>
          <w:szCs w:val="30"/>
        </w:rPr>
        <w:t>126501044576084624</w:t>
      </w:r>
      <w:r>
        <w:rPr>
          <w:rFonts w:hint="default" w:ascii="Times New Roman" w:hAnsi="Times New Roman" w:eastAsia="楷体_GB2312" w:cs="Times New Roman"/>
          <w:b/>
          <w:bCs/>
          <w:kern w:val="2"/>
          <w:sz w:val="30"/>
          <w:szCs w:val="30"/>
        </w:rPr>
        <w:t xml:space="preserve">   </w:t>
      </w:r>
    </w:p>
    <w:p>
      <w:pPr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>
      <w:pPr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>
      <w:pPr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>
      <w:pPr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>
      <w:pPr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>
      <w:pPr>
        <w:jc w:val="center"/>
        <w:rPr>
          <w:rFonts w:hint="default" w:ascii="Times New Roman" w:hAnsi="Times New Roman" w:eastAsia="黑体" w:cs="Times New Roman"/>
          <w:b/>
          <w:bCs/>
          <w:spacing w:val="40"/>
          <w:kern w:val="2"/>
          <w:sz w:val="52"/>
          <w:szCs w:val="52"/>
        </w:rPr>
      </w:pPr>
      <w:r>
        <w:rPr>
          <w:rFonts w:hint="eastAsia" w:ascii="黑体" w:hAnsi="宋体" w:eastAsia="黑体" w:cs="黑体"/>
          <w:b/>
          <w:bCs/>
          <w:spacing w:val="40"/>
          <w:kern w:val="2"/>
          <w:sz w:val="52"/>
          <w:szCs w:val="52"/>
        </w:rPr>
        <w:t>事业单位法人年度报告书</w:t>
      </w:r>
    </w:p>
    <w:p>
      <w:pPr>
        <w:jc w:val="center"/>
        <w:rPr>
          <w:rFonts w:hint="default" w:ascii="Times New Roman" w:hAnsi="Times New Roman" w:eastAsia="黑体" w:cs="Times New Roman"/>
          <w:b/>
          <w:bCs/>
          <w:spacing w:val="30"/>
          <w:kern w:val="2"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pacing w:val="30"/>
          <w:kern w:val="2"/>
          <w:sz w:val="21"/>
          <w:szCs w:val="21"/>
        </w:rPr>
        <w:t xml:space="preserve"> </w:t>
      </w:r>
    </w:p>
    <w:p>
      <w:pPr>
        <w:jc w:val="center"/>
        <w:rPr>
          <w:rFonts w:hint="default" w:ascii="Times New Roman" w:hAnsi="Times New Roman" w:eastAsia="楷体_GB2312" w:cs="Times New Roman"/>
          <w:b/>
          <w:bCs/>
          <w:spacing w:val="30"/>
          <w:kern w:val="2"/>
          <w:sz w:val="36"/>
          <w:szCs w:val="36"/>
        </w:rPr>
      </w:pPr>
      <w:r>
        <w:rPr>
          <w:rFonts w:hint="eastAsia" w:ascii="楷体_GB2312" w:hAnsi="Times New Roman" w:eastAsia="楷体_GB2312" w:cs="楷体_GB2312"/>
          <w:b/>
          <w:bCs/>
          <w:spacing w:val="30"/>
          <w:kern w:val="2"/>
          <w:sz w:val="36"/>
          <w:szCs w:val="36"/>
        </w:rPr>
        <w:t>（</w:t>
      </w:r>
      <w:r>
        <w:rPr>
          <w:rFonts w:hint="default" w:ascii="Times New Roman" w:hAnsi="Times New Roman" w:eastAsia="楷体_GB2312" w:cs="Times New Roman"/>
          <w:b/>
          <w:bCs/>
          <w:spacing w:val="30"/>
          <w:kern w:val="2"/>
          <w:sz w:val="36"/>
          <w:szCs w:val="36"/>
        </w:rPr>
        <w:t xml:space="preserve">  </w:t>
      </w:r>
      <w:r>
        <w:rPr>
          <w:rStyle w:val="22"/>
          <w:rFonts w:hint="default" w:ascii="Times New Roman" w:hAnsi="Times New Roman" w:eastAsia="楷体_GB2312" w:cs="Times New Roman"/>
          <w:b/>
          <w:bCs/>
          <w:sz w:val="30"/>
          <w:szCs w:val="30"/>
        </w:rPr>
        <w:t>2022</w:t>
      </w:r>
      <w:r>
        <w:rPr>
          <w:rFonts w:hint="default" w:ascii="Times New Roman" w:hAnsi="Times New Roman" w:eastAsia="楷体_GB2312" w:cs="Times New Roman"/>
          <w:b/>
          <w:bCs/>
          <w:spacing w:val="30"/>
          <w:kern w:val="2"/>
          <w:sz w:val="36"/>
          <w:szCs w:val="36"/>
        </w:rPr>
        <w:t xml:space="preserve">  </w:t>
      </w:r>
      <w:r>
        <w:rPr>
          <w:rFonts w:hint="eastAsia" w:ascii="楷体_GB2312" w:hAnsi="Times New Roman" w:eastAsia="楷体_GB2312" w:cs="楷体_GB2312"/>
          <w:b/>
          <w:bCs/>
          <w:spacing w:val="30"/>
          <w:kern w:val="2"/>
          <w:sz w:val="36"/>
          <w:szCs w:val="36"/>
        </w:rPr>
        <w:t>年度）</w:t>
      </w:r>
    </w:p>
    <w:p>
      <w:pPr>
        <w:jc w:val="center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</w:rPr>
        <w:t xml:space="preserve"> </w:t>
      </w:r>
    </w:p>
    <w:p>
      <w:pPr>
        <w:jc w:val="center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</w:rPr>
        <w:t xml:space="preserve"> </w:t>
      </w:r>
    </w:p>
    <w:p>
      <w:pPr>
        <w:jc w:val="center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</w:rPr>
        <w:t xml:space="preserve"> </w:t>
      </w:r>
    </w:p>
    <w:p>
      <w:pPr>
        <w:jc w:val="center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</w:rPr>
        <w:t xml:space="preserve"> </w:t>
      </w:r>
    </w:p>
    <w:p>
      <w:pPr>
        <w:jc w:val="center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</w:rPr>
        <w:t xml:space="preserve"> </w:t>
      </w:r>
    </w:p>
    <w:p>
      <w:pPr>
        <w:jc w:val="center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</w:rPr>
        <w:t xml:space="preserve"> </w:t>
      </w: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jc w:val="distribut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18"/>
                <w:rFonts w:hint="eastAsia" w:ascii="黑体" w:hAnsi="宋体" w:eastAsia="黑体" w:cs="黑体"/>
                <w:b/>
                <w:bCs/>
                <w:sz w:val="36"/>
                <w:szCs w:val="36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楷体_GB2312" w:hAnsi="Times New Roman" w:eastAsia="楷体_GB2312" w:cs="楷体_GB2312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Style w:val="15"/>
                <w:rFonts w:hint="eastAsia" w:ascii="楷体_GB2312" w:hAnsi="Times New Roman" w:eastAsia="楷体_GB2312" w:cs="楷体_GB2312"/>
                <w:sz w:val="32"/>
                <w:szCs w:val="32"/>
                <w:bdr w:val="none" w:color="auto" w:sz="0" w:space="0"/>
              </w:rPr>
              <w:t>乌鲁木齐市第七十八中学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kern w:val="2"/>
          <w:sz w:val="24"/>
          <w:szCs w:val="24"/>
          <w:u w:val="single"/>
        </w:rPr>
      </w:pPr>
      <w:r>
        <w:rPr>
          <w:rFonts w:hint="eastAsia" w:ascii="黑体" w:hAnsi="宋体" w:eastAsia="黑体" w:cs="黑体"/>
          <w:b/>
          <w:bCs/>
          <w:kern w:val="2"/>
          <w:sz w:val="24"/>
          <w:szCs w:val="24"/>
          <w:u w:val="single"/>
        </w:rPr>
        <w:t xml:space="preserve"> </w:t>
      </w: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jc w:val="distribut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18"/>
                <w:rFonts w:hint="eastAsia" w:ascii="黑体" w:hAnsi="宋体" w:eastAsia="黑体" w:cs="黑体"/>
                <w:b/>
                <w:bCs/>
                <w:sz w:val="36"/>
                <w:szCs w:val="36"/>
                <w:bdr w:val="none" w:color="auto" w:sz="0" w:space="0"/>
              </w:rPr>
              <w:t>法</w:t>
            </w:r>
            <w:r>
              <w:rPr>
                <w:rStyle w:val="18"/>
                <w:rFonts w:hint="eastAsia" w:ascii="黑体" w:hAnsi="宋体" w:eastAsia="黑体" w:cs="黑体"/>
                <w:b/>
                <w:bCs/>
                <w:spacing w:val="30"/>
                <w:sz w:val="36"/>
                <w:szCs w:val="36"/>
                <w:bdr w:val="none" w:color="auto" w:sz="0" w:space="0"/>
              </w:rPr>
              <w:t>定代表</w:t>
            </w:r>
            <w:r>
              <w:rPr>
                <w:rStyle w:val="18"/>
                <w:rFonts w:hint="eastAsia" w:ascii="黑体" w:hAnsi="宋体" w:eastAsia="黑体" w:cs="黑体"/>
                <w:b/>
                <w:bCs/>
                <w:sz w:val="36"/>
                <w:szCs w:val="36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kern w:val="2"/>
          <w:sz w:val="24"/>
          <w:szCs w:val="24"/>
          <w:u w:val="single"/>
        </w:rPr>
      </w:pPr>
      <w:r>
        <w:rPr>
          <w:rFonts w:hint="eastAsia" w:ascii="黑体" w:hAnsi="宋体" w:eastAsia="黑体" w:cs="黑体"/>
          <w:b/>
          <w:bCs/>
          <w:kern w:val="2"/>
          <w:sz w:val="24"/>
          <w:szCs w:val="24"/>
          <w:u w:val="single"/>
        </w:rPr>
        <w:t xml:space="preserve"> </w:t>
      </w:r>
    </w:p>
    <w:p>
      <w:pPr>
        <w:jc w:val="center"/>
        <w:rPr>
          <w:rFonts w:hint="eastAsia" w:ascii="黑体" w:hAnsi="宋体" w:eastAsia="黑体" w:cs="黑体"/>
          <w:b/>
          <w:bCs/>
          <w:kern w:val="2"/>
          <w:sz w:val="30"/>
          <w:szCs w:val="30"/>
          <w:u w:val="single"/>
        </w:rPr>
      </w:pPr>
      <w:r>
        <w:rPr>
          <w:rFonts w:hint="eastAsia" w:ascii="黑体" w:hAnsi="宋体" w:eastAsia="黑体" w:cs="黑体"/>
          <w:b/>
          <w:bCs/>
          <w:kern w:val="2"/>
          <w:sz w:val="30"/>
          <w:szCs w:val="30"/>
          <w:u w:val="single"/>
        </w:rPr>
        <w:t xml:space="preserve"> </w:t>
      </w:r>
    </w:p>
    <w:p>
      <w:pPr>
        <w:jc w:val="center"/>
        <w:rPr>
          <w:rFonts w:hint="eastAsia" w:ascii="黑体" w:hAnsi="宋体" w:eastAsia="黑体" w:cs="黑体"/>
          <w:b/>
          <w:bCs/>
          <w:kern w:val="2"/>
          <w:sz w:val="30"/>
          <w:szCs w:val="30"/>
          <w:u w:val="single"/>
        </w:rPr>
      </w:pPr>
      <w:r>
        <w:rPr>
          <w:rFonts w:hint="eastAsia" w:ascii="黑体" w:hAnsi="宋体" w:eastAsia="黑体" w:cs="黑体"/>
          <w:b/>
          <w:bCs/>
          <w:kern w:val="2"/>
          <w:sz w:val="30"/>
          <w:szCs w:val="30"/>
          <w:u w:val="single"/>
        </w:rPr>
        <w:t xml:space="preserve"> </w:t>
      </w:r>
    </w:p>
    <w:p>
      <w:pPr>
        <w:jc w:val="center"/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</w:rPr>
        <w:t xml:space="preserve"> </w:t>
      </w:r>
    </w:p>
    <w:p>
      <w:pPr>
        <w:jc w:val="center"/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</w:rPr>
      </w:pPr>
      <w:r>
        <w:rPr>
          <w:rFonts w:hint="eastAsia" w:ascii="楷体_GB2312" w:hAnsi="Times New Roman" w:eastAsia="楷体_GB2312" w:cs="楷体_GB2312"/>
          <w:b/>
          <w:bCs/>
          <w:kern w:val="2"/>
          <w:sz w:val="32"/>
          <w:szCs w:val="32"/>
        </w:rPr>
        <w:t>国家事业单位登记管理局制</w:t>
      </w:r>
    </w:p>
    <w:p>
      <w:pPr>
        <w:jc w:val="center"/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</w:rPr>
        <w:t xml:space="preserve"> </w:t>
      </w: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《事业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单位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法人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证书》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登载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单位名称</w:t>
            </w:r>
          </w:p>
        </w:tc>
        <w:tc>
          <w:tcPr>
            <w:tcW w:w="5950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hAnsi="Times New Roman" w:eastAsia="楷体_GB2312" w:cs="楷体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Style w:val="20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乌鲁木齐市第七十八中学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宗旨和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业务范围</w:t>
            </w:r>
          </w:p>
        </w:tc>
        <w:tc>
          <w:tcPr>
            <w:tcW w:w="5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hAnsi="Times New Roman" w:eastAsia="楷体_GB2312" w:cs="楷体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Style w:val="20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实施初中小学义务教育，促进基础教育发展。小学、初中学历教育（相关社会服务）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住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  <w:t xml:space="preserve">    </w:t>
            </w: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所</w:t>
            </w:r>
          </w:p>
        </w:tc>
        <w:tc>
          <w:tcPr>
            <w:tcW w:w="5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0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乌鲁木齐市西八家户路西侧631号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法定代表人</w:t>
            </w:r>
          </w:p>
        </w:tc>
        <w:tc>
          <w:tcPr>
            <w:tcW w:w="5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0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何冰凌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开办资金</w:t>
            </w:r>
          </w:p>
        </w:tc>
        <w:tc>
          <w:tcPr>
            <w:tcW w:w="5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hAnsi="Times New Roman" w:eastAsia="楷体_GB2312" w:cs="楷体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Style w:val="20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379（万元）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经费来源</w:t>
            </w:r>
          </w:p>
        </w:tc>
        <w:tc>
          <w:tcPr>
            <w:tcW w:w="5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Style w:val="20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财政补助（全额拨款）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举办单位</w:t>
            </w:r>
          </w:p>
        </w:tc>
        <w:tc>
          <w:tcPr>
            <w:tcW w:w="5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0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乌鲁木齐高新技术产业开发区（乌鲁木齐市新市区）教育局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楷体_GB2312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情况</w:t>
            </w:r>
          </w:p>
        </w:tc>
        <w:tc>
          <w:tcPr>
            <w:tcW w:w="79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Style w:val="15"/>
                <w:rFonts w:hint="eastAsia" w:ascii="楷体_GB2312" w:hAnsi="Times New Roman" w:eastAsia="楷体_GB2312" w:cs="楷体_GB2312"/>
                <w:sz w:val="32"/>
                <w:szCs w:val="32"/>
                <w:bdr w:val="none" w:color="auto" w:sz="0" w:space="0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Style w:val="15"/>
                <w:rFonts w:hint="eastAsia" w:ascii="楷体_GB2312" w:hAnsi="Times New Roman" w:eastAsia="楷体_GB2312" w:cs="楷体_GB2312"/>
                <w:sz w:val="32"/>
                <w:szCs w:val="32"/>
                <w:bdr w:val="none" w:color="auto" w:sz="0" w:space="0"/>
              </w:rPr>
              <w:t>年初数（万元）</w:t>
            </w:r>
          </w:p>
        </w:tc>
        <w:tc>
          <w:tcPr>
            <w:tcW w:w="41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Style w:val="15"/>
                <w:rFonts w:hint="eastAsia" w:ascii="楷体_GB2312" w:hAnsi="Times New Roman" w:eastAsia="楷体_GB2312" w:cs="楷体_GB2312"/>
                <w:sz w:val="32"/>
                <w:szCs w:val="32"/>
                <w:bdr w:val="none" w:color="auto" w:sz="0" w:space="0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Style w:val="15"/>
                <w:rFonts w:hint="default" w:ascii="Times New Roman" w:hAnsi="Times New Roman" w:eastAsia="楷体_GB2312" w:cs="Times New Roman"/>
                <w:sz w:val="32"/>
                <w:szCs w:val="32"/>
                <w:bdr w:val="none" w:color="auto" w:sz="0" w:space="0"/>
              </w:rPr>
              <w:t>2742</w:t>
            </w:r>
          </w:p>
        </w:tc>
        <w:tc>
          <w:tcPr>
            <w:tcW w:w="41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0"/>
                <w:rFonts w:hint="default" w:ascii="Times New Roman" w:hAnsi="Times New Roman" w:eastAsia="楷体_GB2312" w:cs="Times New Roman"/>
                <w:sz w:val="32"/>
                <w:szCs w:val="32"/>
                <w:bdr w:val="none" w:color="auto" w:sz="0" w:space="0"/>
              </w:rPr>
              <w:t>2906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hAnsi="Times New Roman" w:eastAsia="楷体_GB2312" w:cs="楷体_GB2312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乌鲁木齐市第七十八中学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="楷体_GB2312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hAnsi="Times New Roman" w:eastAsia="楷体_GB2312" w:cs="楷体_GB2312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Style w:val="15"/>
                <w:rFonts w:hint="default" w:ascii="Times New Roman" w:hAnsi="Times New Roman" w:eastAsia="楷体_GB2312" w:cs="Times New Roman"/>
                <w:sz w:val="32"/>
                <w:szCs w:val="32"/>
                <w:bdr w:val="none" w:color="auto" w:sz="0" w:space="0"/>
              </w:rPr>
              <w:t>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对《条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例》和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实施细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则有关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变更登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记规定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的执行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情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  <w:t xml:space="preserve">  </w:t>
            </w: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况</w:t>
            </w:r>
          </w:p>
        </w:tc>
        <w:tc>
          <w:tcPr>
            <w:tcW w:w="7981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hAnsi="Times New Roman" w:eastAsia="楷体_GB2312" w:cs="楷体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Style w:val="20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开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展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业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务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活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动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情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u w:val="single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况</w:t>
            </w:r>
          </w:p>
        </w:tc>
        <w:tc>
          <w:tcPr>
            <w:tcW w:w="7981" w:type="dxa"/>
            <w:gridSpan w:val="4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hAnsi="Times New Roman" w:eastAsia="楷体_GB2312" w:cs="楷体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Style w:val="20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2022年，学校领导班子在区委、区政府及教育局党组的坚强领导下坚持党的教育方针和</w:t>
            </w:r>
            <w:r>
              <w:rPr>
                <w:rStyle w:val="20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“</w:t>
            </w:r>
            <w:r>
              <w:rPr>
                <w:rStyle w:val="20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立德树人</w:t>
            </w:r>
            <w:r>
              <w:rPr>
                <w:rStyle w:val="20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”</w:t>
            </w:r>
            <w:r>
              <w:rPr>
                <w:rStyle w:val="20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根本任务，团结协作、锐意进取，认真完成学校各项工作任务，现将学校领导班子一年来的工作情况汇报如下： 一、坚持党建引领，全面加强党对教育工作的领导 （一）落实工作制度，规范组织生活 （二）加强党支部建设，坚持党对教育工作的全面领导 （三）抓实意识形态重要工作。 二、加强领导班子建设，充分发挥新班子的主导作用 学校严格执行党组织领导的校长负责制。本年度第一学期初，区委组织部和教育局党组为学校调整并配齐了领导班子，班子成员分工明确，整体凝聚力强，发挥自身作用到位，议事决策规则完善，对学校章程和各项制度逐步进行修订完善，运行良好。领导班子成员能严格履行好</w:t>
            </w:r>
            <w:r>
              <w:rPr>
                <w:rStyle w:val="20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“</w:t>
            </w:r>
            <w:r>
              <w:rPr>
                <w:rStyle w:val="20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一岗双责</w:t>
            </w:r>
            <w:r>
              <w:rPr>
                <w:rStyle w:val="20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”</w:t>
            </w:r>
            <w:r>
              <w:rPr>
                <w:rStyle w:val="20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职责，按照职责分工严格落实全面从严治党主体责任。按照</w:t>
            </w:r>
            <w:r>
              <w:rPr>
                <w:rStyle w:val="20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“</w:t>
            </w:r>
            <w:r>
              <w:rPr>
                <w:rStyle w:val="20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集体领导、民主集中、个别酝酿、会议决定</w:t>
            </w:r>
            <w:r>
              <w:rPr>
                <w:rStyle w:val="20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”</w:t>
            </w:r>
            <w:r>
              <w:rPr>
                <w:rStyle w:val="20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的原则，</w:t>
            </w:r>
            <w:r>
              <w:rPr>
                <w:rStyle w:val="20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“</w:t>
            </w:r>
            <w:r>
              <w:rPr>
                <w:rStyle w:val="20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三重一大</w:t>
            </w:r>
            <w:r>
              <w:rPr>
                <w:rStyle w:val="20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”</w:t>
            </w:r>
            <w:r>
              <w:rPr>
                <w:rStyle w:val="20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事项全都通过支委会讨论决定，在重大问题的决定、重要工作的组织实施前，领导班子都能进行酝酿讨论。 三、德育为首，在日常管理中落实“三爱三节”社会主义核心价值观教育 （一）加强培训，强化思政队伍建设。 （二）强化管理，促进良好行为习惯养成。 （三）以活动为途径，引导孩子</w:t>
            </w:r>
            <w:r>
              <w:rPr>
                <w:rStyle w:val="20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“</w:t>
            </w:r>
            <w:r>
              <w:rPr>
                <w:rStyle w:val="20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扣好人生第一粒纽扣</w:t>
            </w:r>
            <w:r>
              <w:rPr>
                <w:rStyle w:val="20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”</w:t>
            </w:r>
            <w:r>
              <w:rPr>
                <w:rStyle w:val="20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。 四、家校形成合力，增强德育实效 （一）教育的目的是促进人的成长，立德树人是教育的根本，我校德育工作结合开展社会主义核心价值体系教育，重点抓好课程德育和文明行为习惯养成教育，为了将课程德育落到实处，学校制定科学合理的德育开学工作方案和措施，实现全员育人，全程育人。 （二）加强家长学校建设，完善学校、家庭、社会协调一致、相互配合的德育机制，召开了新生家长会，在新生入学之际对新生家长做了辅导，引领家长家校合力共筑同心圆，不让一个学生落伍是我们的教育目标。为完成这一目标，家长必须和学校共同努力，才能形成教育合力。 （三）抓好以培养良好行为习惯和根本道德素质为主要内容的养成教育。开展了线上家庭教育讲座观摩、社会主义核心价值体系教育和中华优秀传统文化教育，促进广阔学生良好品德的养成。 五、落实</w:t>
            </w:r>
            <w:r>
              <w:rPr>
                <w:rStyle w:val="20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“</w:t>
            </w:r>
            <w:r>
              <w:rPr>
                <w:rStyle w:val="20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双减</w:t>
            </w:r>
            <w:r>
              <w:rPr>
                <w:rStyle w:val="20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”</w:t>
            </w:r>
            <w:r>
              <w:rPr>
                <w:rStyle w:val="20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工作，推进课后服务管理，提升教育教学质量 （一）切实加强学生作业管理 根据</w:t>
            </w:r>
            <w:r>
              <w:rPr>
                <w:rStyle w:val="20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“</w:t>
            </w:r>
            <w:r>
              <w:rPr>
                <w:rStyle w:val="20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五项</w:t>
            </w:r>
            <w:r>
              <w:rPr>
                <w:rStyle w:val="20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”</w:t>
            </w:r>
            <w:r>
              <w:rPr>
                <w:rStyle w:val="20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管理规定，我校严格落实文件内容，组织组内教师根据学情，研讨如何科学、丰富作业布置的形式及作业量的控制。 （二）做好课后服务工作 学校以</w:t>
            </w:r>
            <w:r>
              <w:rPr>
                <w:rStyle w:val="20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“</w:t>
            </w:r>
            <w:r>
              <w:rPr>
                <w:rStyle w:val="20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勤文化</w:t>
            </w:r>
            <w:r>
              <w:rPr>
                <w:rStyle w:val="20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”</w:t>
            </w:r>
            <w:r>
              <w:rPr>
                <w:rStyle w:val="20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为主线，打造书法特色学校、童话特色学校。结合学校校园文化和学生学习的成长需要，开展丰富多彩的特色课程。学校开设了</w:t>
            </w:r>
            <w:r>
              <w:rPr>
                <w:rStyle w:val="20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“</w:t>
            </w:r>
            <w:r>
              <w:rPr>
                <w:rStyle w:val="20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体育艺术类、 手工创意类、童话故事类、国学经典类、科技实验类、课程拓展类</w:t>
            </w:r>
            <w:r>
              <w:rPr>
                <w:rStyle w:val="20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”</w:t>
            </w:r>
            <w:r>
              <w:rPr>
                <w:rStyle w:val="20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等六大类课后服务课程。 （三）抓实校本教研培训，注重思政教师队伍建设，提升教师教育教学能力。 一是抓师德师风建设，打造和谐团队。以提高教师师德水平为目的，提高教师教书育人能力，促进了学校工作的持续、健康、科学发展。 二是加强教师梯队建设，重视对年轻教师的培养，本年度继续开展师带徒</w:t>
            </w:r>
            <w:r>
              <w:rPr>
                <w:rStyle w:val="20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“</w:t>
            </w:r>
            <w:r>
              <w:rPr>
                <w:rStyle w:val="20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青蓝工程</w:t>
            </w:r>
            <w:r>
              <w:rPr>
                <w:rStyle w:val="20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”</w:t>
            </w:r>
            <w:r>
              <w:rPr>
                <w:rStyle w:val="20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，以实现互帮互学、互促互进，共同提高的目标。 三是抓好教研培训，加强集体备课。本年度学校教室组织各科教师参加各级教研活动，其中有146人次参加了市级教研活动、785人次参加了区级教研活动、1500多人次参加了校级教研活动，共开展20余次集体备课和组内学科教研活动。 注重思政教师队伍建设。学校成立以党支部书记为组长的思政课教研组，领导班子成员、相关科室负责人、党员带头上好思政课。发挥少先队德育主阵地作用，通过组织专题学习、升旗仪式、主题班队会、课前三分钟等活动，对师生进行铸牢中华民族共同体意识，社会主义核心价值观以及</w:t>
            </w:r>
            <w:r>
              <w:rPr>
                <w:rStyle w:val="20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“</w:t>
            </w:r>
            <w:r>
              <w:rPr>
                <w:rStyle w:val="20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五个认同</w:t>
            </w:r>
            <w:r>
              <w:rPr>
                <w:rStyle w:val="20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”</w:t>
            </w:r>
            <w:r>
              <w:rPr>
                <w:rStyle w:val="20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教育。 六、后勤服务，做好保障工作 学校领导班子本着</w:t>
            </w:r>
            <w:r>
              <w:rPr>
                <w:rStyle w:val="20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“</w:t>
            </w:r>
            <w:r>
              <w:rPr>
                <w:rStyle w:val="20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为教育教学服务，让师生满意</w:t>
            </w:r>
            <w:r>
              <w:rPr>
                <w:rStyle w:val="20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”</w:t>
            </w:r>
            <w:r>
              <w:rPr>
                <w:rStyle w:val="20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的原则，一年来，后勤把为教学服务、为师生服务作为常规管理的主要任务，从开学初的办公用品采购、教学设备维修，保证了教育教学工作的正常开展；维修电路设备、加强校园绿化的管理，为师生提供了良好的教育教学环境。安保科、总务科定时对学校的水、电、暖线路、消防设施、教学设施进行安全检查维修。 七、存在问题和下一步打算 在总结经验的同时，我们还要清醒地看到工作中存在的问题及当前面临的困难与挑战： （一）学校各方面管理还不精细、精准、科学，需要进一步规范和完善。干部队伍建设与新形势新任务结合不够紧密，与高质量发展要求还有差距，优秀年轻干部培养及储备不足。 （二）学校各项规章制度还不够健全完善，不够与时俱进。全方位推进依法治校和规范办学的管理能力和管理水平不足。 （三）个别家长对学校工作理解不到位。学校对外宣传力度还要加大，加强。 下一步，学校将紧紧围绕学校高质量发展新形势、新情况和新要求，把新时代党的建设要求和组织工作任务落实好，牢牢守住生命安全和高质量发展两条底线，全面落实</w:t>
            </w:r>
            <w:r>
              <w:rPr>
                <w:rStyle w:val="20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“</w:t>
            </w:r>
            <w:r>
              <w:rPr>
                <w:rStyle w:val="20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立德树人</w:t>
            </w:r>
            <w:r>
              <w:rPr>
                <w:rStyle w:val="20"/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”</w:t>
            </w:r>
            <w:r>
              <w:rPr>
                <w:rStyle w:val="20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 xml:space="preserve">根本任务，为建设忠诚、干净、担当的满意好班子和办好人民满意教育而努力奋斗！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hAnsi="Times New Roman" w:eastAsia="楷体_GB2312" w:cs="楷体_GB2312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1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hAnsi="Times New Roman" w:eastAsia="楷体_GB2312" w:cs="楷体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Style w:val="20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2019年11月12日至2024年11月12日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绩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效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和受奖惩及诉讼投诉情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  <w:t xml:space="preserve">    </w:t>
            </w: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况</w:t>
            </w:r>
          </w:p>
        </w:tc>
        <w:tc>
          <w:tcPr>
            <w:tcW w:w="79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0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接受捐赠</w:t>
            </w:r>
          </w:p>
          <w:p>
            <w:pPr>
              <w:spacing w:line="0" w:lineRule="atLeas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资助及使用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情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况</w:t>
            </w:r>
          </w:p>
        </w:tc>
        <w:tc>
          <w:tcPr>
            <w:tcW w:w="7981" w:type="dxa"/>
            <w:gridSpan w:val="4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0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无</w:t>
            </w:r>
          </w:p>
        </w:tc>
      </w:tr>
    </w:tbl>
    <w:p>
      <w:pPr>
        <w:jc w:val="left"/>
        <w:rPr>
          <w:rFonts w:hint="eastAsia" w:ascii="楷体_GB2312" w:hAnsi="Times New Roman" w:eastAsia="楷体_GB2312" w:cs="楷体_GB2312"/>
          <w:b/>
          <w:bCs/>
          <w:kern w:val="2"/>
          <w:sz w:val="28"/>
          <w:szCs w:val="28"/>
        </w:rPr>
      </w:pPr>
      <w:r>
        <w:rPr>
          <w:rFonts w:hint="eastAsia" w:ascii="楷体_GB2312" w:hAnsi="Times New Roman" w:eastAsia="楷体_GB2312" w:cs="楷体_GB2312"/>
          <w:b/>
          <w:bCs/>
          <w:kern w:val="2"/>
          <w:sz w:val="28"/>
          <w:szCs w:val="28"/>
        </w:rPr>
        <w:t xml:space="preserve">填表人： </w:t>
      </w:r>
      <w:r>
        <w:rPr>
          <w:rStyle w:val="15"/>
          <w:rFonts w:hint="eastAsia" w:ascii="楷体_GB2312" w:hAnsi="Times New Roman" w:eastAsia="楷体_GB2312" w:cs="楷体_GB2312"/>
          <w:sz w:val="28"/>
          <w:szCs w:val="28"/>
        </w:rPr>
        <w:t>王璇</w:t>
      </w:r>
      <w:r>
        <w:rPr>
          <w:rFonts w:hint="eastAsia" w:ascii="楷体_GB2312" w:hAnsi="Times New Roman" w:eastAsia="楷体_GB2312" w:cs="楷体_GB2312"/>
          <w:b/>
          <w:bCs/>
          <w:kern w:val="2"/>
          <w:sz w:val="28"/>
          <w:szCs w:val="28"/>
        </w:rPr>
        <w:t xml:space="preserve">  </w:t>
      </w:r>
      <w:r>
        <w:rPr>
          <w:rStyle w:val="15"/>
          <w:rFonts w:hint="eastAsia" w:ascii="楷体_GB2312" w:hAnsi="Times New Roman" w:eastAsia="楷体_GB2312" w:cs="楷体_GB2312"/>
          <w:sz w:val="28"/>
          <w:szCs w:val="28"/>
        </w:rPr>
        <w:t xml:space="preserve">  </w:t>
      </w:r>
      <w:r>
        <w:rPr>
          <w:rFonts w:hint="eastAsia" w:ascii="楷体_GB2312" w:hAnsi="Times New Roman" w:eastAsia="楷体_GB2312" w:cs="楷体_GB2312"/>
          <w:b/>
          <w:bCs/>
          <w:kern w:val="2"/>
          <w:sz w:val="28"/>
          <w:szCs w:val="28"/>
        </w:rPr>
        <w:t>报送日期：</w:t>
      </w:r>
      <w:r>
        <w:rPr>
          <w:rStyle w:val="15"/>
          <w:rFonts w:hint="eastAsia" w:ascii="楷体_GB2312" w:hAnsi="Times New Roman" w:eastAsia="楷体_GB2312" w:cs="楷体_GB2312"/>
          <w:b/>
          <w:bCs/>
          <w:sz w:val="28"/>
          <w:szCs w:val="28"/>
        </w:rPr>
        <w:t>2023年03月03日</w:t>
      </w:r>
    </w:p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E767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qFormat="1" w:unhideWhenUsed="0" w:uiPriority="35" w:semiHidden="0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10" w:semiHidden="0" w:name="Title"/>
    <w:lsdException w:unhideWhenUsed="0" w:uiPriority="99" w:semiHidden="0" w:name="Closing"/>
    <w:lsdException w:unhideWhenUsed="0" w:uiPriority="99" w:semiHidden="0" w:name="Signature"/>
    <w:lsdException w:uiPriority="99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qFormat="1" w:unhideWhenUsed="0" w:uiPriority="11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uiPriority w:val="99"/>
    <w:pPr>
      <w:keepNext w:val="0"/>
      <w:keepLines w:val="0"/>
      <w:widowControl w:val="0"/>
      <w:suppressLineNumbers w:val="0"/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uiPriority w:val="99"/>
    <w:pPr>
      <w:widowControl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4">
    <w:name w:val="HTML 预设格式 Char"/>
    <w:basedOn w:val="1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15">
    <w:name w:val="19"/>
    <w:basedOn w:val="13"/>
    <w:uiPriority w:val="0"/>
    <w:rPr>
      <w:rFonts w:hint="default" w:ascii="Times New Roman" w:hAnsi="Times New Roman" w:eastAsia="楷体_GB2312" w:cs="Times New Roman"/>
      <w:sz w:val="32"/>
      <w:szCs w:val="32"/>
    </w:rPr>
  </w:style>
  <w:style w:type="character" w:customStyle="1" w:styleId="16">
    <w:name w:val="20"/>
    <w:basedOn w:val="13"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16"/>
    <w:basedOn w:val="13"/>
    <w:uiPriority w:val="0"/>
    <w:rPr>
      <w:rFonts w:hint="default" w:ascii="Times New Roman" w:hAnsi="Times New Roman" w:cs="Times New Roman"/>
    </w:rPr>
  </w:style>
  <w:style w:type="character" w:customStyle="1" w:styleId="18">
    <w:name w:val="15"/>
    <w:basedOn w:val="13"/>
    <w:uiPriority w:val="0"/>
    <w:rPr>
      <w:rFonts w:hint="eastAsia" w:ascii="黑体" w:hAnsi="宋体" w:eastAsia="黑体" w:cs="黑体"/>
      <w:sz w:val="36"/>
      <w:szCs w:val="36"/>
    </w:rPr>
  </w:style>
  <w:style w:type="character" w:customStyle="1" w:styleId="19">
    <w:name w:val="10"/>
    <w:basedOn w:val="13"/>
    <w:uiPriority w:val="0"/>
    <w:rPr>
      <w:rFonts w:hint="default" w:ascii="Times New Roman" w:hAnsi="Times New Roman" w:cs="Times New Roman"/>
    </w:rPr>
  </w:style>
  <w:style w:type="character" w:customStyle="1" w:styleId="20">
    <w:name w:val="18"/>
    <w:basedOn w:val="13"/>
    <w:uiPriority w:val="0"/>
    <w:rPr>
      <w:rFonts w:hint="default" w:ascii="Times New Roman" w:hAnsi="Times New Roman" w:eastAsia="楷体_GB2312" w:cs="Times New Roman"/>
      <w:sz w:val="28"/>
      <w:szCs w:val="28"/>
    </w:rPr>
  </w:style>
  <w:style w:type="character" w:customStyle="1" w:styleId="21">
    <w:name w:val="17"/>
    <w:basedOn w:val="13"/>
    <w:uiPriority w:val="0"/>
    <w:rPr>
      <w:rFonts w:hint="default" w:ascii="Times New Roman" w:hAnsi="Times New Roman" w:cs="Times New Roman"/>
    </w:rPr>
  </w:style>
  <w:style w:type="character" w:customStyle="1" w:styleId="22">
    <w:name w:val="21"/>
    <w:basedOn w:val="13"/>
    <w:uiPriority w:val="0"/>
    <w:rPr>
      <w:rFonts w:hint="default" w:ascii="Times New Roman" w:hAnsi="Times New Roman" w:eastAsia="楷体_GB2312" w:cs="Times New Roman"/>
      <w:sz w:val="30"/>
      <w:szCs w:val="30"/>
    </w:rPr>
  </w:style>
  <w:style w:type="character" w:customStyle="1" w:styleId="23">
    <w:name w:val="22"/>
    <w:basedOn w:val="13"/>
    <w:uiPriority w:val="0"/>
    <w:rPr>
      <w:rFonts w:hint="default" w:ascii="Times New Roman" w:hAnsi="Times New Roman" w:cs="Times New Roman"/>
    </w:rPr>
  </w:style>
  <w:style w:type="character" w:customStyle="1" w:styleId="24">
    <w:name w:val="23"/>
    <w:basedOn w:val="13"/>
    <w:uiPriority w:val="0"/>
    <w:rPr>
      <w:rFonts w:hint="default" w:ascii="Times New Roman" w:hAnsi="Times New Roman" w:eastAsia="宋体" w:cs="Times New Roman"/>
      <w:sz w:val="18"/>
      <w:szCs w:val="18"/>
    </w:rPr>
  </w:style>
  <w:style w:type="paragraph" w:customStyle="1" w:styleId="25">
    <w:name w:val="pre Char"/>
    <w:basedOn w:val="1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6">
    <w:name w:val="普通(网站) Char"/>
    <w:basedOn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7</Pages>
  <Characters>2406</Characters>
  <Lines>4</Lines>
  <Paragraphs>1</Paragraphs>
  <TotalTime>0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2024-03-27T14:27:54Z</dcterms:created>
  <dc:creator>雨林木风</dc:creator>
  <cp:lastModifiedBy>峰</cp:lastModifiedBy>
  <dcterms:modified xsi:type="dcterms:W3CDTF">2024-03-27T14:28:05Z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F4CC891C97E2456A99512CC4A4584DBA_13</vt:lpwstr>
  </property>
</Properties>
</file>