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hAnsi="Times New Roman" w:eastAsia="楷体_GB2312" w:cs="楷体_GB2312"/>
          <w:b/>
          <w:bCs/>
          <w:kern w:val="2"/>
          <w:sz w:val="30"/>
          <w:szCs w:val="30"/>
        </w:rPr>
      </w:pPr>
      <w:r>
        <w:rPr>
          <w:rFonts w:hint="eastAsia"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3"/>
          <w:rFonts w:hint="default" w:ascii="Times New Roman" w:hAnsi="Times New Roman" w:eastAsia="楷体_GB2312" w:cs="Times New Roman"/>
          <w:b/>
          <w:bCs/>
          <w:sz w:val="30"/>
          <w:szCs w:val="30"/>
        </w:rPr>
        <w:t>126501044576557525</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eastAsia"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3"/>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eastAsia"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15"/>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hAnsi="Times New Roman" w:eastAsia="楷体_GB2312" w:cs="楷体_GB2312"/>
                <w:kern w:val="2"/>
                <w:sz w:val="32"/>
                <w:szCs w:val="32"/>
                <w:bdr w:val="none" w:color="auto" w:sz="0" w:space="0"/>
              </w:rPr>
            </w:pPr>
            <w:r>
              <w:rPr>
                <w:rStyle w:val="20"/>
                <w:rFonts w:hint="eastAsia" w:ascii="楷体_GB2312" w:hAnsi="Times New Roman" w:eastAsia="楷体_GB2312" w:cs="楷体_GB2312"/>
                <w:sz w:val="32"/>
                <w:szCs w:val="32"/>
                <w:bdr w:val="none" w:color="auto" w:sz="0" w:space="0"/>
              </w:rPr>
              <w:t>乌鲁木齐市第五十四中学</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15"/>
                <w:rFonts w:hint="eastAsia" w:ascii="黑体" w:hAnsi="宋体" w:eastAsia="黑体" w:cs="黑体"/>
                <w:b/>
                <w:bCs/>
                <w:sz w:val="36"/>
                <w:szCs w:val="36"/>
                <w:bdr w:val="none" w:color="auto" w:sz="0" w:space="0"/>
              </w:rPr>
              <w:t>法</w:t>
            </w:r>
            <w:r>
              <w:rPr>
                <w:rStyle w:val="15"/>
                <w:rFonts w:hint="eastAsia" w:ascii="黑体" w:hAnsi="宋体" w:eastAsia="黑体" w:cs="黑体"/>
                <w:b/>
                <w:bCs/>
                <w:spacing w:val="30"/>
                <w:sz w:val="36"/>
                <w:szCs w:val="36"/>
                <w:bdr w:val="none" w:color="auto" w:sz="0" w:space="0"/>
              </w:rPr>
              <w:t>定代表</w:t>
            </w:r>
            <w:r>
              <w:rPr>
                <w:rStyle w:val="15"/>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eastAsia"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乌鲁木齐市第五十四中学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宗旨：实施初中义务教育，高中学历教育，促进基础教育发展。业务范围：初中、高中学历教育（相关社会服务）。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2"/>
                <w:rFonts w:hint="eastAsia" w:ascii="楷体_GB2312" w:hAnsi="Times New Roman" w:eastAsia="楷体_GB2312" w:cs="楷体_GB2312"/>
                <w:sz w:val="28"/>
                <w:szCs w:val="28"/>
                <w:bdr w:val="none" w:color="auto" w:sz="0" w:space="0"/>
              </w:rPr>
              <w:t>乌鲁木齐市北京南路571号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2"/>
                <w:rFonts w:hint="eastAsia" w:ascii="楷体_GB2312" w:hAnsi="Times New Roman" w:eastAsia="楷体_GB2312" w:cs="楷体_GB2312"/>
                <w:sz w:val="28"/>
                <w:szCs w:val="28"/>
                <w:bdr w:val="none" w:color="auto" w:sz="0" w:space="0"/>
              </w:rPr>
              <w:t>郑开元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1888（万元）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22"/>
                <w:rFonts w:hint="eastAsia" w:ascii="楷体_GB2312" w:hAnsi="Times New Roman" w:eastAsia="楷体_GB2312" w:cs="楷体_GB2312"/>
                <w:sz w:val="28"/>
                <w:szCs w:val="28"/>
                <w:bdr w:val="none" w:color="auto" w:sz="0" w:space="0"/>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22"/>
                <w:rFonts w:hint="eastAsia" w:ascii="楷体_GB2312" w:hAnsi="Times New Roman" w:eastAsia="楷体_GB2312" w:cs="楷体_GB2312"/>
                <w:sz w:val="28"/>
                <w:szCs w:val="28"/>
                <w:bdr w:val="none" w:color="auto" w:sz="0" w:space="0"/>
              </w:rPr>
              <w:t>乌鲁木齐高新技术产业开发区（乌鲁木齐市新市区）教育局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0"/>
                <w:rFonts w:hint="eastAsia"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0"/>
                <w:rFonts w:hint="eastAsia"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0"/>
                <w:rFonts w:hint="eastAsia"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0"/>
                <w:rFonts w:hint="default" w:ascii="Times New Roman" w:hAnsi="Times New Roman" w:eastAsia="楷体_GB2312" w:cs="Times New Roman"/>
                <w:sz w:val="32"/>
                <w:szCs w:val="32"/>
                <w:bdr w:val="none" w:color="auto" w:sz="0" w:space="0"/>
              </w:rPr>
              <w:t>2316</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22"/>
                <w:rFonts w:hint="default" w:ascii="Times New Roman" w:hAnsi="Times New Roman" w:eastAsia="楷体_GB2312" w:cs="Times New Roman"/>
                <w:sz w:val="32"/>
                <w:szCs w:val="32"/>
                <w:bdr w:val="none" w:color="auto" w:sz="0" w:space="0"/>
              </w:rPr>
              <w:t>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hAnsi="Times New Roman" w:eastAsia="楷体_GB2312" w:cs="楷体_GB2312"/>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乌鲁木齐市第五十四中学</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eastAsia" w:ascii="楷体_GB2312" w:hAnsi="Times New Roman" w:eastAsia="楷体_GB2312" w:cs="楷体_GB2312"/>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eastAsia" w:ascii="楷体_GB2312" w:hAnsi="Times New Roman" w:eastAsia="楷体_GB2312" w:cs="楷体_GB2312"/>
                <w:kern w:val="2"/>
                <w:sz w:val="32"/>
                <w:szCs w:val="32"/>
                <w:bdr w:val="none" w:color="auto" w:sz="0" w:space="0"/>
              </w:rPr>
            </w:pPr>
            <w:r>
              <w:rPr>
                <w:rStyle w:val="20"/>
                <w:rFonts w:hint="default" w:ascii="Times New Roman" w:hAnsi="Times New Roman" w:eastAsia="楷体_GB2312" w:cs="Times New Roman"/>
                <w:sz w:val="32"/>
                <w:szCs w:val="32"/>
                <w:bdr w:val="none" w:color="auto" w:sz="0" w:space="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依据《事业单位登记管理暂行条例》和《事业单位登记管理暂行条例实施细则》的规定，按照登记的宗旨和业务范围开展业务活动。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2022年，在上级党委的正确领导下，54中学深入贯彻落实习近平新时代中国特色社会主义思想、党的二十大精神，坚定社会主义办学方向，全面贯彻党的教育方针，落实立德树人根本任务。现将工作开展情况汇报如下： 一、 强化班主任队伍建设。7月派出10位班主任前往重庆参2022新时代中小学德育高峰论坛暨首届全国班主任发展大会。同时学校通过每两周的班主任优秀案例分享，提升班主任管理能力。2022年先后派中层干部、骨干教师20人去深圳、重庆等地参加干部管理、班主任管理等培训，提升干部能力。加大各科教师培训力度，2022年全年教师150人次参加各类培训，培训费达12万元。通过开展教研组备课组活动、集体备课活动、示范课、研讨课、青蓝汇报课、青蓝出师课、大会教学教研经验分享、各学科讲座、课题研究、命题研究、命题培训等多元化的各类活动为载体，让教师的专业素养得到多方位的发展。瞄准</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双减</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，提高课堂教学效率，优化作业设计方案，做到了减轻学生学业负担，师生家长在2022年对我校的</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双减</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教育满意度调查中均达到99%以上。重视作业管理与设计，教师在参加高新区组织的中小学作业设计比赛团体赛中，七个参赛的备课组、教研组，有六个喜获一等奖，一个二等奖。个人赛中有5位老师喜获一等奖，四位老师二等奖，收获颇丰中高考成绩喜人，连续数年普通高中录取分数线持续保持二批次第一，高考成绩连续上升。强化师德师风建设，严厉查处有偿办班补课、体罚学生、收受礼品礼金、利用工作职务便利谋取私利等损害群众利益行为。同时做好送温暖活动，全年关心关爱教师158人次，慰问生病、抗疫、困难职工、丧事等30余人。 二、培养学生的养成教育和文明礼仪教育。结合学生年龄特点和认知规律，通过垃圾分类、</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光盘行动</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、成人礼、校园艺术节、</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传承红色基因学革命英雄、传家风、家训</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讲故事大赛等系列专题活动，深化中华优秀传统文化进校园。加强学生心理健康教育，学校将心理健康课程中加入</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生命教育”“压力化解教育”“亲子沟通教育</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培养学生积极心理品质，将心理健康课堂与实际生活相结合，提高学生心理适应能力。积极参与文明校园创建，在校园内设立文明、礼仪标语牌，制作展板展架30余块，让环境立美；青少年宫（社团）活动丰富多彩，开设足球、篮球、陶笛、轮滑等社团活动并取得了可喜成绩，让课堂立美；积极开展体育艺术节活动，提升学生的幸福感，让活动立美；重视家庭教育，开设</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父母智慧教育课堂</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，通过空中课堂指导如何做智慧父母、如何陪伴孩子顺利度过青春期，接地气的家校共育，让家庭教育增美。 三、学校特色发展越发显著。学校把特色项目纳入到课堂教学中，通过体育课、课间操及特色课外活动等一系列活动的开展，使参与到冰雪特色项目中的学生达到全员参与。根据学生喜好，在课后服务中开设编程、足球等社团七个，既能满足学生个性化发展，同时也让学生在课后服务中体验快乐。 四 强化学校常规管理。加强食品安全，通过领导试、陪餐制度的落实，不断改善师生的营养膳食，提高师生的满意度。依法治校，做好</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阳光分班</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学生学籍注册、高考报名等保障工作。努力改善学校的办学条件，2022年完成了高中楼多功能厅维修购置项目170万元、新建灯光篮球场一块89万元，校园路面硬化项目150万元。全面创建生态文明校园，增强学生的环保意识，2021-2022年度学校成功申报创建了</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全国生态文明校园</w:t>
            </w:r>
            <w:r>
              <w:rPr>
                <w:rStyle w:val="22"/>
                <w:rFonts w:hint="default" w:ascii="Times New Roman" w:hAnsi="Times New Roman" w:eastAsia="楷体_GB2312" w:cs="Times New Roman"/>
                <w:sz w:val="28"/>
                <w:szCs w:val="28"/>
                <w:bdr w:val="none" w:color="auto" w:sz="0" w:space="0"/>
              </w:rPr>
              <w:t>”</w:t>
            </w:r>
            <w:r>
              <w:rPr>
                <w:rStyle w:val="22"/>
                <w:rFonts w:hint="eastAsia" w:ascii="楷体_GB2312" w:hAnsi="Times New Roman" w:eastAsia="楷体_GB2312" w:cs="楷体_GB2312"/>
                <w:sz w:val="28"/>
                <w:szCs w:val="28"/>
                <w:bdr w:val="none" w:color="auto" w:sz="0" w:space="0"/>
              </w:rPr>
              <w:t xml:space="preserve">称号。2022年主要承担普通高中学业水平合格考试、自学考试、公务员考试等6场考点任务，做到备案、组织、考务零差错、零事故、零投诉。做好贫困生资助工作，2022年春季学期认定困难学生共计46人，秋季学期认定困难学生共计62人。 今后，我们全体师生齐心协力落实好学校“十四五”规划，建设高质量人民满意的教育！ </w:t>
            </w:r>
          </w:p>
          <w:p>
            <w:pPr>
              <w:autoSpaceDE w:val="0"/>
              <w:autoSpaceDN w:val="0"/>
              <w:adjustRightInd w:val="0"/>
              <w:snapToGrid w:val="0"/>
              <w:spacing w:line="360" w:lineRule="auto"/>
              <w:rPr>
                <w:rFonts w:hint="eastAsia"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eastAsia" w:ascii="楷体_GB2312" w:hAnsi="Times New Roman" w:eastAsia="楷体_GB2312" w:cs="楷体_GB2312"/>
                <w:kern w:val="2"/>
                <w:sz w:val="28"/>
                <w:szCs w:val="28"/>
                <w:bdr w:val="none" w:color="auto" w:sz="0" w:space="0"/>
              </w:rPr>
            </w:pPr>
            <w:r>
              <w:rPr>
                <w:rStyle w:val="22"/>
                <w:rFonts w:hint="eastAsia" w:ascii="楷体_GB2312" w:hAnsi="Times New Roman" w:eastAsia="楷体_GB2312" w:cs="楷体_GB2312"/>
                <w:sz w:val="28"/>
                <w:szCs w:val="28"/>
                <w:bdr w:val="none" w:color="auto" w:sz="0" w:space="0"/>
              </w:rPr>
              <w:t>自2018年09月21日至2023年09月21日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2"/>
                <w:rFonts w:hint="eastAsia" w:ascii="楷体_GB2312" w:hAnsi="Times New Roman" w:eastAsia="楷体_GB2312" w:cs="楷体_GB2312"/>
                <w:sz w:val="28"/>
                <w:szCs w:val="28"/>
                <w:bdr w:val="none" w:color="auto" w:sz="0" w:space="0"/>
              </w:rPr>
              <w:t xml:space="preserve">1.2022年4月首届眼保健操活动比赛三等奖； 2.2022年12月获得第十九届教科研年会中小学单元整体教学集体备课语文组一等奖、中学数学组一等奖、中学化学组一等奖、中学道法组一等奖。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eastAsia"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eastAsia"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eastAsia"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22"/>
                <w:rFonts w:hint="eastAsia" w:ascii="楷体_GB2312" w:hAnsi="Times New Roman" w:eastAsia="楷体_GB2312" w:cs="楷体_GB2312"/>
                <w:sz w:val="28"/>
                <w:szCs w:val="28"/>
                <w:bdr w:val="none" w:color="auto" w:sz="0" w:space="0"/>
              </w:rPr>
              <w:t>无</w:t>
            </w:r>
          </w:p>
        </w:tc>
      </w:tr>
    </w:tbl>
    <w:p>
      <w:pPr>
        <w:jc w:val="left"/>
        <w:rPr>
          <w:rFonts w:hint="eastAsia" w:ascii="楷体_GB2312" w:hAnsi="Times New Roman" w:eastAsia="楷体_GB2312" w:cs="楷体_GB2312"/>
          <w:b/>
          <w:bCs/>
          <w:kern w:val="2"/>
          <w:sz w:val="28"/>
          <w:szCs w:val="28"/>
        </w:rPr>
      </w:pPr>
      <w:r>
        <w:rPr>
          <w:rFonts w:hint="eastAsia" w:ascii="楷体_GB2312" w:hAnsi="Times New Roman" w:eastAsia="楷体_GB2312" w:cs="楷体_GB2312"/>
          <w:b/>
          <w:bCs/>
          <w:kern w:val="2"/>
          <w:sz w:val="28"/>
          <w:szCs w:val="28"/>
        </w:rPr>
        <w:t xml:space="preserve">填表人： </w:t>
      </w:r>
      <w:r>
        <w:rPr>
          <w:rStyle w:val="20"/>
          <w:rFonts w:hint="eastAsia" w:ascii="楷体_GB2312" w:hAnsi="Times New Roman" w:eastAsia="楷体_GB2312" w:cs="楷体_GB2312"/>
          <w:sz w:val="28"/>
          <w:szCs w:val="28"/>
        </w:rPr>
        <w:t>何秋霖</w:t>
      </w:r>
      <w:r>
        <w:rPr>
          <w:rFonts w:hint="eastAsia" w:ascii="楷体_GB2312" w:hAnsi="Times New Roman" w:eastAsia="楷体_GB2312" w:cs="楷体_GB2312"/>
          <w:b/>
          <w:bCs/>
          <w:kern w:val="2"/>
          <w:sz w:val="28"/>
          <w:szCs w:val="28"/>
        </w:rPr>
        <w:t xml:space="preserve">  </w:t>
      </w:r>
      <w:r>
        <w:rPr>
          <w:rStyle w:val="20"/>
          <w:rFonts w:hint="eastAsia" w:ascii="楷体_GB2312" w:hAnsi="Times New Roman" w:eastAsia="楷体_GB2312" w:cs="楷体_GB2312"/>
          <w:sz w:val="28"/>
          <w:szCs w:val="28"/>
        </w:rPr>
        <w:t xml:space="preserve">  </w:t>
      </w:r>
      <w:r>
        <w:rPr>
          <w:rFonts w:hint="eastAsia" w:ascii="楷体_GB2312" w:hAnsi="Times New Roman" w:eastAsia="楷体_GB2312" w:cs="楷体_GB2312"/>
          <w:b/>
          <w:bCs/>
          <w:kern w:val="2"/>
          <w:sz w:val="28"/>
          <w:szCs w:val="28"/>
        </w:rPr>
        <w:t>报送日期：</w:t>
      </w:r>
      <w:r>
        <w:rPr>
          <w:rStyle w:val="20"/>
          <w:rFonts w:hint="eastAsia" w:ascii="楷体_GB2312" w:hAnsi="Times New Roman" w:eastAsia="楷体_GB2312" w:cs="楷体_GB2312"/>
          <w:b/>
          <w:bCs/>
          <w:sz w:val="28"/>
          <w:szCs w:val="28"/>
        </w:rPr>
        <w:t>2023年03月03日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7B0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3"/>
    <w:basedOn w:val="13"/>
    <w:uiPriority w:val="0"/>
    <w:rPr>
      <w:rFonts w:hint="default" w:ascii="Times New Roman" w:hAnsi="Times New Roman" w:cs="Times New Roman"/>
    </w:rPr>
  </w:style>
  <w:style w:type="character" w:customStyle="1" w:styleId="15">
    <w:name w:val="21"/>
    <w:basedOn w:val="13"/>
    <w:uiPriority w:val="0"/>
    <w:rPr>
      <w:rFonts w:hint="eastAsia" w:ascii="黑体" w:hAnsi="宋体" w:eastAsia="黑体" w:cs="黑体"/>
      <w:sz w:val="36"/>
      <w:szCs w:val="36"/>
    </w:rPr>
  </w:style>
  <w:style w:type="paragraph" w:customStyle="1" w:styleId="16">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0"/>
    <w:basedOn w:val="13"/>
    <w:uiPriority w:val="0"/>
    <w:rPr>
      <w:rFonts w:hint="default" w:ascii="Times New Roman" w:hAnsi="Times New Roman" w:cs="Times New Roman"/>
    </w:rPr>
  </w:style>
  <w:style w:type="character" w:customStyle="1" w:styleId="18">
    <w:name w:val="18"/>
    <w:basedOn w:val="13"/>
    <w:uiPriority w:val="0"/>
    <w:rPr>
      <w:rFonts w:hint="default" w:ascii="Times New Roman" w:hAnsi="Times New Roman" w:eastAsia="宋体" w:cs="Times New Roman"/>
      <w:sz w:val="18"/>
      <w:szCs w:val="18"/>
    </w:rPr>
  </w:style>
  <w:style w:type="character" w:customStyle="1" w:styleId="19">
    <w:name w:val="19"/>
    <w:basedOn w:val="13"/>
    <w:uiPriority w:val="0"/>
    <w:rPr>
      <w:rFonts w:hint="default" w:ascii="Times New Roman" w:hAnsi="Times New Roman" w:eastAsia="宋体" w:cs="Times New Roman"/>
      <w:sz w:val="18"/>
      <w:szCs w:val="18"/>
    </w:rPr>
  </w:style>
  <w:style w:type="character" w:customStyle="1" w:styleId="20">
    <w:name w:val="15"/>
    <w:basedOn w:val="13"/>
    <w:uiPriority w:val="0"/>
    <w:rPr>
      <w:rFonts w:hint="default" w:ascii="Times New Roman" w:hAnsi="Times New Roman" w:eastAsia="楷体_GB2312" w:cs="Times New Roman"/>
      <w:sz w:val="32"/>
      <w:szCs w:val="32"/>
    </w:rPr>
  </w:style>
  <w:style w:type="character" w:customStyle="1" w:styleId="21">
    <w:name w:val="16"/>
    <w:basedOn w:val="13"/>
    <w:uiPriority w:val="0"/>
    <w:rPr>
      <w:rFonts w:hint="default" w:ascii="Times New Roman" w:hAnsi="Times New Roman" w:cs="Times New Roman"/>
    </w:rPr>
  </w:style>
  <w:style w:type="character" w:customStyle="1" w:styleId="22">
    <w:name w:val="17"/>
    <w:basedOn w:val="13"/>
    <w:uiPriority w:val="0"/>
    <w:rPr>
      <w:rFonts w:hint="default" w:ascii="Times New Roman" w:hAnsi="Times New Roman" w:eastAsia="楷体_GB2312" w:cs="Times New Roman"/>
      <w:sz w:val="28"/>
      <w:szCs w:val="28"/>
    </w:rPr>
  </w:style>
  <w:style w:type="character" w:customStyle="1" w:styleId="23">
    <w:name w:val="20"/>
    <w:basedOn w:val="13"/>
    <w:uiPriority w:val="0"/>
    <w:rPr>
      <w:rFonts w:hint="default" w:ascii="Times New Roman" w:hAnsi="Times New Roman" w:eastAsia="楷体_GB2312" w:cs="Times New Roman"/>
      <w:sz w:val="30"/>
      <w:szCs w:val="30"/>
    </w:rPr>
  </w:style>
  <w:style w:type="character" w:customStyle="1" w:styleId="24">
    <w:name w:val="22"/>
    <w:basedOn w:val="13"/>
    <w:uiPriority w:val="0"/>
    <w:rPr>
      <w:rFonts w:hint="default" w:ascii="Times New Roman" w:hAnsi="Times New Roman" w:cs="Times New Roman"/>
    </w:rPr>
  </w:style>
  <w:style w:type="paragraph" w:customStyle="1" w:styleId="25">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Characters>2113</Characters>
  <Lines>4</Lines>
  <Paragraphs>1</Paragraph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2024-03-27T14:24:49Z</dcterms:created>
  <dc:creator>雨林木风</dc:creator>
  <cp:lastModifiedBy>峰</cp:lastModifiedBy>
  <dcterms:modified xsi:type="dcterms:W3CDTF">2024-03-27T14:25:13Z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7185280E73BF47A99CC49DFF06E04410_13</vt:lpwstr>
  </property>
</Properties>
</file>