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kern w:val="36"/>
          <w:sz w:val="44"/>
          <w:szCs w:val="44"/>
          <w:highlight w:val="none"/>
          <w:lang w:eastAsia="zh-CN"/>
        </w:rPr>
        <w:t>乌鲁木齐高新技术产业开发区（乌鲁木齐市新市区）转移支付执行情况说明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2021年，高新区（新市区）收到上级补助收入126250万元，其中：返还性收入42763万元，一般性转移支付收入48980万元，专项转移支付收入34507万元。具体情况如下：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  <w:t>一般性转移支付收入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体制补助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5493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万元；均衡性转移支付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万元；县级基本财力保障机制奖补资金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89万元；结算补助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385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万元；企事业单位预算划转补助422万元；固定数额补助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4,202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民族地区转移支付收入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万元；贫困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地区转移支付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998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一般公共服务共同财政事权转移支付收入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万元；公共安全共同财政事权转移支付收入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万元；教育共同财政事权转移支付收入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9523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万元；科学技术共同财政事权转移支付收入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万元；文化旅游体育与传媒共同财政事权转移支付收入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万元；社会保障和就业共同财政事权转移支付收入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10067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万元；医疗卫生共同财政事权转移支付收入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4197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万元；节能环保共同财政事权转移支付收入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万元；农林水共同财政事权转移支付收入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万元；住房保障共同财政事权转移支付收入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1717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万元；其他一般性转移支付收入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3732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（二）专项转移支付收入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万元；教育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万元；科学技术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万元；社会保障和就业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9147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卫生健康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7069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万元；节能环保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1656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万元；城乡社区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8591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万元；农林水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万元；资源勘探信息等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5251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万元；商业服务业等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1160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灾害防治及应急管理40万元，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其他收入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2021年我区一般公共预算结转资金为23285万元，主要是上级专项转移支付资金结转，包括：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公共安全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574万元；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教育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万元；科学技术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文化旅游体育与传媒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298万元；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社会保障和就业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4730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卫生健康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11863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万元；节能环保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万元；农林水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844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万元；资源勘探信息等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住房保障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5689万元；灾害防治及应急管理52万元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2021年我区收到上级补助收入883万元，全部为专项补助。2021年我区政府性基金预算结转资金为20347万元，全部为上级专项转移支付资金结转。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国有资本经营预算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2021年我区收到上级补助收入1267万元，全部为专项补助。2021年我区国有资本经营预算结转资金为3516万元，全部为上级专项转移支付资金结转。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03FC5"/>
    <w:multiLevelType w:val="singleLevel"/>
    <w:tmpl w:val="E9B03F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199A67"/>
    <w:multiLevelType w:val="singleLevel"/>
    <w:tmpl w:val="03199A67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06D0A"/>
    <w:rsid w:val="5BA06D0A"/>
    <w:rsid w:val="6BC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2023-04-07T07:44:00Z</dcterms:created>
  <dc:creator>Administrator</dc:creator>
  <cp:lastModifiedBy>Administrator</cp:lastModifiedBy>
  <dcterms:modified xsi:type="dcterms:W3CDTF">2023-04-08T04:35:23Z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30A9F913F3294EA7AFDF759B84075145</vt:lpwstr>
  </property>
</Properties>
</file>