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adjustRightInd/>
        <w:snapToGrid/>
        <w:spacing w:before="0" w:beforeAutospacing="0" w:after="312" w:afterLines="100" w:afterAutospacing="0" w:line="520" w:lineRule="exact"/>
        <w:ind w:left="0" w:right="0"/>
        <w:jc w:val="center"/>
        <w:outlineLvl w:val="0"/>
        <w:rPr>
          <w:rFonts w:hint="eastAsia" w:ascii="方正小标宋_GBK" w:hAnsi="微软雅黑" w:eastAsia="方正小标宋_GBK" w:cs="宋体"/>
          <w:b/>
          <w:snapToGrid/>
          <w:color w:val="2B2B2B"/>
          <w:kern w:val="36"/>
          <w:sz w:val="44"/>
          <w:szCs w:val="44"/>
          <w:lang w:val="en-US" w:eastAsia="zh-CN" w:bidi="ar"/>
        </w:rPr>
      </w:pPr>
      <w:r>
        <w:rPr>
          <w:rFonts w:hint="eastAsia" w:ascii="方正小标宋_GBK" w:hAnsi="微软雅黑" w:eastAsia="方正小标宋_GBK" w:cs="宋体"/>
          <w:b/>
          <w:snapToGrid/>
          <w:color w:val="2B2B2B"/>
          <w:kern w:val="36"/>
          <w:sz w:val="44"/>
          <w:szCs w:val="44"/>
          <w:lang w:val="en-US" w:eastAsia="zh-CN" w:bidi="ar"/>
        </w:rPr>
        <w:t>2021年重大政策和重点项目等绩效目标及绩效执行结果公开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560"/>
        <w:jc w:val="both"/>
        <w:rPr>
          <w:rFonts w:hint="eastAsia" w:ascii="方正小标宋_GBK" w:hAnsi="微软雅黑" w:eastAsia="方正小标宋_GBK" w:cs="宋体"/>
          <w:b/>
          <w:snapToGrid/>
          <w:color w:val="2B2B2B"/>
          <w:kern w:val="36"/>
          <w:sz w:val="44"/>
          <w:szCs w:val="44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</w:rPr>
        <w:t>根据区级预算绩效管理工作安排，选择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</w:rPr>
        <w:t>个项目(包括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</w:rPr>
        <w:t>个重大政策或项目、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</w:rPr>
        <w:t>个政府债券项目）作为财政重点绩效评价对象。目前评价工作已完成，现按要求公开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</w:rPr>
        <w:t>个重大政策和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</w:rPr>
        <w:t>重点项目绩效执行结果。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道路保洁购买服务人员经费项目（附件一）；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2021年部分中央财政城镇保障性安居工程补助资金（直达资金）（直达）项目（附件二）；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2021年中央财政困难群众救助补助资金（直达资金）（直达-城乡低保）项目（附件三）；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2021年林业专项资金项目（附件四）；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学前免费教育补助资金项目（附件五）；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食品安全抽检资金项目（附件六）；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高新区（新市区）乡村风貌提升和农村人居环境改善项目（附件七）；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高新区（新市区）2021年农田建设补助资金项目（附件八）；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高新区（新市区）青格达湖乡蔬菜种植产业配套基础设施建设项目（附件九）；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高新区（新市区）人民医院建设项目（附件十）。</w:t>
      </w:r>
    </w:p>
    <w:sectPr>
      <w:pgSz w:w="11906" w:h="16838"/>
      <w:pgMar w:top="1440" w:right="1800" w:bottom="1440" w:left="1800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方正小标宋_GBK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微软雅黑">
    <w:panose1 w:val="020B0503020204020204"/>
    <w:charset w:val="86"/>
    <w:family w:val="auto"/>
    <w:pitch w:val="variable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200101FF" w:csb1="20280000"/>
  </w:font>
  <w:font w:name="@微软雅黑">
    <w:panose1 w:val="020B0503020204020204"/>
    <w:charset w:val="86"/>
    <w:family w:val="auto"/>
    <w:pitch w:val="variable"/>
    <w:sig w:usb0="80000287" w:usb1="280F3C52" w:usb2="00000016" w:usb3="00000000" w:csb0="0004001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77AF9B"/>
    <w:multiLevelType w:val="singleLevel"/>
    <w:tmpl w:val="EB77AF9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EF5BB5"/>
    <w:rsid w:val="65EF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200" w:afterAutospacing="0" w:line="220" w:lineRule="atLeast"/>
      <w:ind w:left="0" w:right="0"/>
    </w:pPr>
    <w:rPr>
      <w:rFonts w:ascii="Calibri" w:hAnsi="Calibri" w:eastAsia="宋体" w:cs="Calibri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2023-03-21T12:03:00Z</dcterms:created>
  <dc:creator>醉^ω^她</dc:creator>
  <cp:lastModifiedBy>醉^ω^她</cp:lastModifiedBy>
  <dcterms:modified xsi:type="dcterms:W3CDTF">2023-03-21T12:17:39Z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