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hAnsi="宋体" w:eastAsia="方正小标宋_GBK"/>
          <w:kern w:val="0"/>
          <w:sz w:val="44"/>
          <w:szCs w:val="44"/>
        </w:rPr>
        <w:instrText xml:space="preserve">ADDIN CNKISM.UserStyle</w:instrText>
      </w:r>
      <w:r>
        <w:rPr>
          <w:rFonts w:ascii="方正小标宋_GBK" w:hAnsi="宋体" w:eastAsia="方正小标宋_GBK"/>
          <w:kern w:val="0"/>
          <w:sz w:val="44"/>
          <w:szCs w:val="44"/>
        </w:rPr>
        <w:fldChar w:fldCharType="end"/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高新区（新市区）区委财经办（金融办）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区委财经办（金融办）单位概况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一、关于区委财经办（金融办）2019年收支预算情况的总体说明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二、关于区委财经办（金融办）2019年收入预算情况说明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三、关于区委财经办（金融办）2019年支出预算情况说明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四、关于区委财经办（金融办）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五、关于区委财经办（金融办）2019年一般公共预算当年拨款情况说明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六、关于区委财经办（金融办）2019年一般公共预算基本支出情况说明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七、关于区委财经办（金融办）2019年项目支出情况说明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八、关于区委财经办（金融办）2019年一般公共预算“三公”经费预算情况说明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九、关于区委财经办（金融办）2019年政府性基金预算拨款情况说明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区委财经办（金融办）单位概况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(一) 贯彻执行国家、自治区和乌鲁木齐市有关财经、金融工作的方针、政策和法律、法规，研究分析区财经、税收和金融方面的动态，并提出相关政策建议。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(二)协调、监督、检查财经工作中的有关事项; 跟踪了解国民经济和社会发展计划及财政预算的执行情况，反映经济发展中存在的突出问题; 参与涉及财力分配、资金安排、事财权调整、资源整合、项目投资等重大事项的调查研究，并提出意见和建议。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(三)组织拟订辖区内融资工作政策，根据国民经济和社会发展规划以及政府年度重点项目投资计划，编制区融资计划和方案，并组织实施; 协调金融机构提供金融服务和支持; 协助金融机构对中小企业的融资服务工作;负责政府性投融资体系建设工作;跟踪监督并研究分析区政府性债务情况,提出优化政府性债务建议和意见。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(四)贯彻落实乌鲁木齐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市金融产业发展规划,协助维护全市金融秩序,做好风险防范、化解工作;配合做好小额贷款公司和融资性担保机构日常监管、风险处置等工作;协助做好乌鲁木齐市金融业服务质量提档升级工作,协调金融业发展中需地方解决的问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(五)推进股权投资类企业的发展并做好服务工作,做好对具备上市条件或上市前景较好企业的筛选、服务工作,跟踪、监测已上市企业的经营业绩和运行情况。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(六)负责财经领导小组会议的筹备并监督、检查会议决定事项的贯彻落实;承担区委财经领导小组的日常工作。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(七)承办上级交办的其他事项。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区委财经办（金融办）无下属预算单位，下设2个处室，分别是：</w:t>
      </w:r>
      <w:r>
        <w:rPr>
          <w:rFonts w:hint="eastAsia" w:ascii="仿宋_GB2312" w:hAnsi="宋体" w:eastAsia="仿宋_GB2312" w:cs="宋体"/>
          <w:sz w:val="32"/>
          <w:szCs w:val="32"/>
        </w:rPr>
        <w:t>综合科、业务科。</w:t>
      </w:r>
    </w:p>
    <w:p>
      <w:pPr>
        <w:spacing w:line="56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>区委财经办（金融办）</w:t>
      </w:r>
      <w:r>
        <w:rPr>
          <w:rFonts w:hint="eastAsia" w:ascii="仿宋_GB2312" w:hAnsi="宋体" w:eastAsia="仿宋_GB2312" w:cs="宋体"/>
          <w:sz w:val="32"/>
          <w:szCs w:val="32"/>
        </w:rPr>
        <w:t>编制数8个，实有人数 5人，其中：在职5人，增加0人。退休 0人，增加0人；离休 0人，增加0人。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tbl>
      <w:tblPr>
        <w:tblStyle w:val="7"/>
        <w:tblW w:w="89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180"/>
        <w:gridCol w:w="326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8"/>
                <w:szCs w:val="28"/>
              </w:rPr>
              <w:t>表一：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编制部门:财经办（金融办）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89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440"/>
        <w:gridCol w:w="280"/>
        <w:gridCol w:w="460"/>
        <w:gridCol w:w="428"/>
        <w:gridCol w:w="1890"/>
        <w:gridCol w:w="242"/>
        <w:gridCol w:w="655"/>
        <w:gridCol w:w="165"/>
        <w:gridCol w:w="706"/>
        <w:gridCol w:w="94"/>
        <w:gridCol w:w="620"/>
        <w:gridCol w:w="295"/>
        <w:gridCol w:w="105"/>
        <w:gridCol w:w="300"/>
        <w:gridCol w:w="326"/>
        <w:gridCol w:w="154"/>
        <w:gridCol w:w="284"/>
        <w:gridCol w:w="96"/>
        <w:gridCol w:w="342"/>
        <w:gridCol w:w="118"/>
        <w:gridCol w:w="3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0" w:type="dxa"/>
          <w:trHeight w:val="347" w:hRule="atLeast"/>
        </w:trPr>
        <w:tc>
          <w:tcPr>
            <w:tcW w:w="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10" w:hRule="atLeast"/>
        </w:trPr>
        <w:tc>
          <w:tcPr>
            <w:tcW w:w="7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35" w:hRule="atLeast"/>
        </w:trPr>
        <w:tc>
          <w:tcPr>
            <w:tcW w:w="71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填报部门:财经办（金融办）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35" w:hRule="atLeast"/>
        </w:trPr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256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2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3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9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财政拨款结转结余(小计)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19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56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财经办（金融办）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462.85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462.85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党委办公厅（室）及相关机构事务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462.85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462.85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7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31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其他党委办公厅（室）及相关机构事务支出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31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102.85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102.85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31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250.00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250.00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90" w:hRule="atLeast"/>
        </w:trPr>
        <w:tc>
          <w:tcPr>
            <w:tcW w:w="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33"/>
        <w:gridCol w:w="439"/>
        <w:gridCol w:w="436"/>
        <w:gridCol w:w="2398"/>
        <w:gridCol w:w="1359"/>
        <w:gridCol w:w="1336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部门支出总体情况表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编制部门：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区委财经办（金融办）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38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83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111.88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财经办（金融办）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111.88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462.85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97.17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党委办公厅（室）及相关机构事务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462.85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97.17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31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31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102.85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97.17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31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其他党委办公厅（室）及相关机构事务支出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tbl>
      <w:tblPr>
        <w:tblStyle w:val="7"/>
        <w:tblW w:w="7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40"/>
        <w:gridCol w:w="560"/>
        <w:gridCol w:w="1900"/>
        <w:gridCol w:w="1060"/>
        <w:gridCol w:w="114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tbl>
            <w:tblPr>
              <w:tblStyle w:val="7"/>
              <w:tblW w:w="72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760"/>
              <w:gridCol w:w="2400"/>
              <w:gridCol w:w="700"/>
              <w:gridCol w:w="880"/>
              <w:gridCol w:w="8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22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8"/>
                      <w:szCs w:val="28"/>
                    </w:rPr>
                    <w:t>财政拨款收支预算总体情况表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7220" w:type="dxa"/>
                  <w:gridSpan w:val="6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填报部门:财经办（金融办）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单位：万元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23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财政拨款收入</w:t>
                  </w:r>
                </w:p>
              </w:tc>
              <w:tc>
                <w:tcPr>
                  <w:tcW w:w="4840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财政拨款支出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项     目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功能分类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一般公共预算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政府基金预算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财政拨款（补助）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477.56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201 一般公共服务支出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462.85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462.85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一般公共预算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477.56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202 外交支出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政府性基金预算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203 国防支出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204 公共安全支出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9.72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9.72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205 教育支出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206 科学技术支出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207 文化旅游体育与传媒支出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208 社会保障和就业支出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4.99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4.99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209 社会保险基金支出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210 卫生健康支出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211 节能环保支出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212 城乡社区支出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213 农林水支出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214 交通运输支出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215 资源勘探信息等支出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216 商业服务业等支出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217 金融支出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219 援助其他地区支出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220 自然资源海洋气象等支出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221 住房保障支出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222 粮油物资储备支出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223 国有资本经营预算支出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224 灾害防治及应急管理支出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227 预备费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229 其他支出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231 债务还本支出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232 债务付息支出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233 债务发行费用支出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      小      计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477.56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      小      计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477.56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477.56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230 转移性支出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16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      收 入 总 计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477.56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 xml:space="preserve">            支 出 总 计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477.56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righ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477.56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</w:tcPr>
                <w:p>
                  <w:pPr>
                    <w:widowControl/>
                    <w:jc w:val="left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</w:tbl>
          <w:p>
            <w:pPr>
              <w:widowControl/>
              <w:outlineLvl w:val="1"/>
              <w:rPr>
                <w:rFonts w:ascii="仿宋_GB2312" w:hAnsi="宋体" w:eastAsia="仿宋_GB2312"/>
                <w:b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32"/>
              </w:rPr>
              <w:t>备注：无内容应公开空表并说明情况。</w:t>
            </w: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表五：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编制部门：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区委财经办（金融办）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111.88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财经办（金融办）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111.88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462.85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97.17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462.85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97.17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31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31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102.85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97.17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31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90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2000"/>
        <w:gridCol w:w="1580"/>
        <w:gridCol w:w="158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表六：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区委财经办（金融办）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20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111.88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98.84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143001-财经办（金融办）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111.88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98.84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98.84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98.84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10.68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10.68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3.72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3.72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奖金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14.87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14.87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4.99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2.24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2.24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5.49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5.49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48.65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48.65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3.32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0.13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0.53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0.37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0.65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0.77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9.72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40"/>
        <w:gridCol w:w="439"/>
        <w:gridCol w:w="1058"/>
        <w:gridCol w:w="965"/>
        <w:gridCol w:w="828"/>
        <w:gridCol w:w="565"/>
        <w:gridCol w:w="863"/>
        <w:gridCol w:w="735"/>
        <w:gridCol w:w="416"/>
        <w:gridCol w:w="632"/>
        <w:gridCol w:w="445"/>
        <w:gridCol w:w="616"/>
        <w:gridCol w:w="416"/>
        <w:gridCol w:w="416"/>
        <w:gridCol w:w="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表七：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区委财经办（金融办）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科目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项目支出支出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5.68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财经办（金融办）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365.68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5.68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访惠聚人员补助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4.32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4.32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工作经费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110.00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盘古智库咨询费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硕士补贴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1.36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政银企合作经费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20"/>
        <w:gridCol w:w="1380"/>
        <w:gridCol w:w="1480"/>
        <w:gridCol w:w="158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表八：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编制单位：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区委财经办（金融办）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备注：此表为空，本单位无“三公”经费支出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tbl>
      <w:tblPr>
        <w:tblStyle w:val="7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20"/>
        <w:gridCol w:w="800"/>
        <w:gridCol w:w="2220"/>
        <w:gridCol w:w="1020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政府性基金预算支出情况表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编制单位：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区委财经办（金融办）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 目</w:t>
            </w:r>
          </w:p>
        </w:tc>
        <w:tc>
          <w:tcPr>
            <w:tcW w:w="37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  计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备注：此表为空，本单位无政府性基金预算支出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关于区委财经办（金融办）2019年收支预算情况的总体说明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按照全口径预算的原则，区委财经办（金融办）2019年所有收入和支出均纳入部门预算管理。收支总预算477.56万元。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收入预算包括：一般公共预算477.56万元。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支出预算包括：一般公共服务支出462.85万元、公共安全支出9.72万元、社会保障和就业支出4.99万元。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二、关于区委财经办（金融办）2019年收入预算情况说明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区委财经办（金融办）收入预算477.56万元，其中：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一般公共预算477.56万元，占100%，比上年增加447.56万元，主要原因是我办2019年新增政银企合作、校地合作、以与盘古智库合作等专项费用；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三、关于区委财经办（金融办）单位2019年支出预算情况说明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区委财经办（金融办）单位2019年支出预算477.56元，其中：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基本支出111.88万元，占23.43%，比上年增加111.88  万元，主要原因是我单位为2018年5月单独核算单位，人员经费自2019年开始申报预算。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项目支出365.68万元，占76.57%，比上年增加335万元，主要原因是我办2019年新增政银企合作、校地合作、以与盘古智库合作等专项费用。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四、关于区委财经办（金融办）2019年财政拨款收支预算情况的总体说明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2019年财政拨款收支总预算477.56万元。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五、关于区委财经办（金融办）2019年一般公共预算当年拨款情况说明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区委财经办（金融办）2019年一般公共预算拨款基本支出111.88万元，比上年执行数增加111.88万元。主要原因是：2018年5月我单位单独核算，未列支人员经费。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1.一般公共服务（类）462.85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万元，占96.92%。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 公共安全支出9.72万元，占2.04%。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 社会保障和就业支出4.99万元，占1.04%。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党委办公厅（室）及相关机构事务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一般行政管理事务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比上年执行数增加250万元，主要原因是：用于开展政银企合作、校地合作、以与盘古智库合作等专项费用     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党委办公厅（室）及相关机构事务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事业运行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比上年执行数增加102.85万元，主要原因是：我单位工作人员的基本支出。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党委办公厅（室）及相关机构事务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其他党委办公厅（室）及相关机构事务支出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比上年执行数增加80万元，主要原因是：用于防范化解金融风险宣传举报奖励、金融中心课题研究等费用。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4.公共安全支出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其他公共安全支出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其他公共安全支出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比上年执行数增加9.72万元，主要原因是：我单位工作人员的人员补助费。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社会保障和就业支出（类）行政事业单位离退休（款）机关事业单位基本养老保险缴费支出（项）：2018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比上年执行数增加4.99万元，主要原因是：我单位工作人员的养老保险。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六、关于区委财经办（金融办）2019年一般公共预算基本支出情况说明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区委财经办（金融办）2019年一般公共预算基本支出      111.88万元，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 108.56万元，主要包括：基本工资10.68万元、津贴补贴3.72万元、奖金7.2万元、绩效工资14.87万元、机关事业单位基本养老保险缴费4.99万元、职工基本医疗保险缴费2.24万元、公务员医疗补助缴费0.5万元、其他社会保障缴费0.5 万元、住房公积金5.49万元、其他工资福利支出48.65万元、其他对个人和家庭的补助9.72万元等。。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3.32万元，主要包括：办公费0.26万元、水费0.07万元、电费0.13万元、邮电费0.23万元、差旅费0.53万元、维修（护）费0.01万元、培训费0.37万元、专用材料费0.02万元、工会经费0.28万元、福利费0.65万元、其他商品和服务支出0.77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七、关于区委财经办（金融办）2019年项目支出情况说明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>1.项目</w:t>
      </w:r>
      <w:r>
        <w:rPr>
          <w:rFonts w:ascii="仿宋_GB2312" w:hAnsi="宋体" w:eastAsia="仿宋_GB2312"/>
          <w:sz w:val="32"/>
          <w:szCs w:val="22"/>
        </w:rPr>
        <w:t>名称</w:t>
      </w:r>
      <w:r>
        <w:rPr>
          <w:rFonts w:hint="eastAsia" w:ascii="仿宋_GB2312" w:hAnsi="宋体" w:eastAsia="仿宋_GB2312"/>
          <w:sz w:val="32"/>
          <w:szCs w:val="22"/>
        </w:rPr>
        <w:t>：“政银企”合作项目工作经费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设立的政策依据</w:t>
      </w:r>
      <w:r>
        <w:rPr>
          <w:rFonts w:hint="eastAsia" w:ascii="仿宋_GB2312" w:hAnsi="宋体" w:eastAsia="仿宋_GB2312"/>
          <w:sz w:val="32"/>
          <w:szCs w:val="22"/>
        </w:rPr>
        <w:t>：积极响应中央对支持民营经济的号召，践行普惠金融理念；解决民营企业融资难题，提振民营企业发展信心，促进实体经济稳步发展；发挥政府职能，为银企双方搭建信息共享平台；为我区经济发展、解决就业提供有效保障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预算安排规模</w:t>
      </w:r>
      <w:r>
        <w:rPr>
          <w:rFonts w:hint="eastAsia" w:ascii="仿宋_GB2312" w:hAnsi="宋体" w:eastAsia="仿宋_GB2312"/>
          <w:sz w:val="32"/>
          <w:szCs w:val="22"/>
        </w:rPr>
        <w:t>：100万元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项目承担单位</w:t>
      </w:r>
      <w:r>
        <w:rPr>
          <w:rFonts w:hint="eastAsia" w:ascii="仿宋_GB2312" w:hAnsi="宋体" w:eastAsia="仿宋_GB2312"/>
          <w:sz w:val="32"/>
          <w:szCs w:val="22"/>
        </w:rPr>
        <w:t>：区委财经办（金融办）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资金分配情况</w:t>
      </w:r>
      <w:r>
        <w:rPr>
          <w:rFonts w:hint="eastAsia" w:ascii="仿宋_GB2312" w:hAnsi="宋体" w:eastAsia="仿宋_GB2312"/>
          <w:sz w:val="32"/>
          <w:szCs w:val="22"/>
        </w:rPr>
        <w:t>：开展调研对接20万元、组织会议宣传等80万元。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资金执行时间</w:t>
      </w:r>
      <w:r>
        <w:rPr>
          <w:rFonts w:hint="eastAsia" w:ascii="仿宋_GB2312" w:hAnsi="宋体" w:eastAsia="仿宋_GB2312"/>
          <w:sz w:val="32"/>
          <w:szCs w:val="22"/>
        </w:rPr>
        <w:t>：2019年全年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 xml:space="preserve">2.项目名称：盘古智库咨询服务费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设立的政策依据</w:t>
      </w:r>
      <w:r>
        <w:rPr>
          <w:rFonts w:hint="eastAsia" w:ascii="仿宋_GB2312" w:hAnsi="宋体" w:eastAsia="仿宋_GB2312"/>
          <w:sz w:val="32"/>
          <w:szCs w:val="22"/>
        </w:rPr>
        <w:t>：高质量的完成产业发展总报告以及CBD建设建议、智能制造、特色生物医药和新材料分报告，为管委会、区政府提供建议。</w:t>
      </w:r>
      <w:r>
        <w:rPr>
          <w:rFonts w:ascii="仿宋_GB2312" w:hAnsi="宋体" w:eastAsia="仿宋_GB2312"/>
          <w:sz w:val="32"/>
          <w:szCs w:val="2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预算安排规模</w:t>
      </w:r>
      <w:r>
        <w:rPr>
          <w:rFonts w:hint="eastAsia" w:ascii="仿宋_GB2312" w:hAnsi="宋体" w:eastAsia="仿宋_GB2312"/>
          <w:sz w:val="32"/>
          <w:szCs w:val="22"/>
        </w:rPr>
        <w:t>：150万元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项目承担单位</w:t>
      </w:r>
      <w:r>
        <w:rPr>
          <w:rFonts w:hint="eastAsia" w:ascii="仿宋_GB2312" w:hAnsi="宋体" w:eastAsia="仿宋_GB2312"/>
          <w:sz w:val="32"/>
          <w:szCs w:val="22"/>
        </w:rPr>
        <w:t>：区委财经办（金融办）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资金分配情况</w:t>
      </w:r>
      <w:r>
        <w:rPr>
          <w:rFonts w:hint="eastAsia" w:ascii="仿宋_GB2312" w:hAnsi="宋体" w:eastAsia="仿宋_GB2312"/>
          <w:sz w:val="32"/>
          <w:szCs w:val="22"/>
        </w:rPr>
        <w:t>：完成合同约定的报告支付150万元服务费。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资金执行时间</w:t>
      </w:r>
      <w:r>
        <w:rPr>
          <w:rFonts w:hint="eastAsia" w:ascii="仿宋_GB2312" w:hAnsi="宋体" w:eastAsia="仿宋_GB2312"/>
          <w:sz w:val="32"/>
          <w:szCs w:val="22"/>
        </w:rPr>
        <w:t>：2019年全年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/>
          <w:sz w:val="32"/>
          <w:szCs w:val="22"/>
        </w:rPr>
        <w:t>3.项目名称：金融创新及监管工作经费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设立的政策依据</w:t>
      </w:r>
      <w:r>
        <w:rPr>
          <w:rFonts w:hint="eastAsia" w:ascii="仿宋_GB2312" w:hAnsi="宋体" w:eastAsia="仿宋_GB2312"/>
          <w:sz w:val="32"/>
          <w:szCs w:val="22"/>
        </w:rPr>
        <w:t>：做好金融创新服务中心规划及课题研究，推进金融创新服务中心建设，为政府决策提供建议支持；开展高新区金融行业发展中心工作，为我区金融服务提供支持；做好校地合作、盘古合作，为我区提供智力支持与政策依据，加强监管，防范风险，做好宣传工作，为我区金融稳定提供保障。</w:t>
      </w:r>
      <w:r>
        <w:rPr>
          <w:rFonts w:ascii="仿宋_GB2312" w:hAnsi="宋体" w:eastAsia="仿宋_GB2312"/>
          <w:sz w:val="32"/>
          <w:szCs w:val="2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预算安排规模</w:t>
      </w:r>
      <w:r>
        <w:rPr>
          <w:rFonts w:hint="eastAsia" w:ascii="仿宋_GB2312" w:hAnsi="宋体" w:eastAsia="仿宋_GB2312"/>
          <w:sz w:val="32"/>
          <w:szCs w:val="22"/>
        </w:rPr>
        <w:t>：110万元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项目承担单位</w:t>
      </w:r>
      <w:r>
        <w:rPr>
          <w:rFonts w:hint="eastAsia" w:ascii="仿宋_GB2312" w:hAnsi="宋体" w:eastAsia="仿宋_GB2312"/>
          <w:sz w:val="32"/>
          <w:szCs w:val="22"/>
        </w:rPr>
        <w:t>：区委财经办（金融办）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资金分配情况</w:t>
      </w:r>
      <w:r>
        <w:rPr>
          <w:rFonts w:hint="eastAsia" w:ascii="仿宋_GB2312" w:hAnsi="宋体" w:eastAsia="仿宋_GB2312"/>
          <w:sz w:val="32"/>
          <w:szCs w:val="22"/>
        </w:rPr>
        <w:t>：开展处非宣传、举报奖励、律师咨询35</w:t>
      </w:r>
      <w:r>
        <w:rPr>
          <w:rFonts w:hint="eastAsia" w:ascii="仿宋_GB2312" w:hAnsi="黑体" w:eastAsia="仿宋_GB2312"/>
          <w:sz w:val="32"/>
          <w:szCs w:val="32"/>
        </w:rPr>
        <w:t>万元；开展金融发展论坛及课题研究55万；开展校地、盘古合作外出考察调研等20万元。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黑体" w:eastAsia="仿宋_GB2312"/>
          <w:sz w:val="32"/>
          <w:szCs w:val="32"/>
        </w:rPr>
        <w:t xml:space="preserve"> 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访惠聚人员补助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区委组织部相关文件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4.32万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区委财经办（金融办）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：人头分配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2019年1-12月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1800元/人/月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访惠聚人员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：打卡发放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发放程序：先由单位向财政部门上报访惠聚人员考勤及补助表，后财政授权拨款下放指标，由我单位自行发放。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我办驻点社区群众。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</w:t>
      </w:r>
      <w:r>
        <w:rPr>
          <w:rFonts w:hint="eastAsia" w:ascii="仿宋_GB2312" w:hAnsi="黑体" w:eastAsia="仿宋_GB2312"/>
          <w:sz w:val="32"/>
          <w:szCs w:val="32"/>
        </w:rPr>
        <w:t xml:space="preserve"> 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硕士人员补助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区委组织部相关文件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1.3</w:t>
      </w: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区委财经办（金融办）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：人头分配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2019年1-12月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400元/人/月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取得硕士学位并经组织部审定人员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：打卡发放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发放程序：由组织部门下达发放通知后，由单位向财政部门申请财政授权拨款下放指标，由我单位自行发放。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我办硕士学位工作人员。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八、关于区委财经办（金融办）2019年一般公共预算“三公”经费预算情况说明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区委财经办（金融办）2019年“三公”经费财政拨款预算数为0万元，其中：因公出国（境）费0万元，公务用车购置0万元，公务用车运行费0万元，公务接待费0万元。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0万元。其中：因公出国（境）费增加0万元，主要原因是本单位无此类支出；公务用车购置费为0，未安排预算。公务用车运行费增加0万元，主要原因是本单位无此类支出；公务接待费增加0万元，主要原因是本单位无此类支出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九、关于区委财经办（金融办）2019年政府性基金预算拨款情况说明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区委财经办（金融办）2019年没有使用政府性基金预算拨款安排的支出，政府性基金预算支出情况表为空表。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区委财经办（经融办）本级及下属0家行政单位、0家参公管理事业单位和0家事业单位的机关运行经费财政拨款预算111.88万元，比上年预算增加111.88万元，。主要原因是我单位自2019年开始列入人员经费开支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2019年，区委财经办（金融办）及下属单位政府采购预算0万元，其中：政府采购货物预算0万元，政府采购工程预算0万元，政府采购服务预算0万元。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截至2018年底，区委财经办（金融办）及下属各预算单位占用使用国有资产总体情况为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3.办公家具价值5.02万元。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2019年度，本年度实行绩效管理的项目5个，涉及预算金额365.68万元。具体情况见下表：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7"/>
              <w:tblW w:w="13483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1"/>
              <w:gridCol w:w="1787"/>
              <w:gridCol w:w="1601"/>
              <w:gridCol w:w="481"/>
              <w:gridCol w:w="1120"/>
              <w:gridCol w:w="311"/>
              <w:gridCol w:w="313"/>
              <w:gridCol w:w="1852"/>
              <w:gridCol w:w="252"/>
              <w:gridCol w:w="1088"/>
              <w:gridCol w:w="2062"/>
              <w:gridCol w:w="252"/>
              <w:gridCol w:w="25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1348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613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区委财经办（金融办）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3907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“政银企”合作项目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</w:trPr>
              <w:tc>
                <w:tcPr>
                  <w:tcW w:w="21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7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08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100万　</w:t>
                  </w:r>
                </w:p>
              </w:tc>
              <w:tc>
                <w:tcPr>
                  <w:tcW w:w="1744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100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2567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2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372" w:type="dxa"/>
                  <w:gridSpan w:val="1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积极响应中央对支持民营经济的号召，践行普惠金融理念；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解决民营企业融资难题，提振民营企业发展信心，促进实体经济稳步发展；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发挥政府职能，为银企双方搭建信息共享平台；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为我区经济发展、解决就业提供有效保障。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78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有效降低企业融资成本　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效果显著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提高银行、企业业务对接效率，降低双方成本　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效果显著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政银企合作对接会计划完成率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银企业务对接成功率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提高20%以上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完成政银企业务对接活动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4次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完成普惠金融产品、政策推介会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4次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效果较明显的活动数量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效果显著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可复制、推广的经验做法数量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2条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11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项目效益指标</w:t>
                  </w:r>
                </w:p>
              </w:tc>
              <w:tc>
                <w:tcPr>
                  <w:tcW w:w="178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经济效益指标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降低企业融资成本，减轻企业经营负担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效果显著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提高地区经济增长，提高就业水平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有效提升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民营企业可持续发展动力和活力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长效有利提升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信息共享，促进社会信用体系建设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长效有利推进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提高就业率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效果显著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进一步完善产业布局、规划水平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效果显著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生态效益指标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通过融资导向，促进符合绿色发展观、环境友好型企业发展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效果显著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绿色环保企业融资成功率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效果显著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78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企业对政银企合作活动满意度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2111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0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企业对金融机构服务满意度</w:t>
                  </w:r>
                </w:p>
              </w:tc>
              <w:tc>
                <w:tcPr>
                  <w:tcW w:w="3655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100%</w:t>
                  </w:r>
                </w:p>
              </w:tc>
            </w:tr>
          </w:tbl>
          <w:p/>
          <w:tbl>
            <w:tblPr>
              <w:tblStyle w:val="7"/>
              <w:tblW w:w="135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2"/>
              <w:gridCol w:w="1804"/>
              <w:gridCol w:w="1617"/>
              <w:gridCol w:w="485"/>
              <w:gridCol w:w="1132"/>
              <w:gridCol w:w="314"/>
              <w:gridCol w:w="314"/>
              <w:gridCol w:w="1870"/>
              <w:gridCol w:w="242"/>
              <w:gridCol w:w="1100"/>
              <w:gridCol w:w="2082"/>
              <w:gridCol w:w="242"/>
              <w:gridCol w:w="24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" w:hRule="atLeast"/>
              </w:trPr>
              <w:tc>
                <w:tcPr>
                  <w:tcW w:w="1357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outlineLvl w:val="1"/>
                    <w:rPr>
                      <w:rFonts w:ascii="仿宋_GB2312" w:hAnsi="宋体" w:eastAsia="仿宋_GB2312"/>
                      <w:b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213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17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82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21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66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区委财经办（金融办）</w:t>
                  </w:r>
                </w:p>
              </w:tc>
              <w:tc>
                <w:tcPr>
                  <w:tcW w:w="1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390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盘古智库咨询服务费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21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150</w:t>
                  </w:r>
                </w:p>
              </w:tc>
              <w:tc>
                <w:tcPr>
                  <w:tcW w:w="17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150</w:t>
                  </w:r>
                </w:p>
              </w:tc>
              <w:tc>
                <w:tcPr>
                  <w:tcW w:w="13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256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21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444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高质量的完成产业发展总报告以及CBD建设建议、智能制造、特色生物医药和新材料分报告，为管委会、区政府提供建议。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21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1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通过同类比较，电话交流等方式降低人工成本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有效降低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完成的相关报告的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评审过程和公开公示期限符合相关要求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100%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相关报告及时完成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及时有效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完成产业发展总报告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1份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完成CBD建设建议、智能制造、特色生物医药、新材料分报告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4份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研究报告评审合格率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研究报告按时结题率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100%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项目效益指标</w:t>
                  </w:r>
                </w:p>
              </w:tc>
              <w:tc>
                <w:tcPr>
                  <w:tcW w:w="18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经济效益指标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对未来产业发展影响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有效提高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经济指标增长情况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有效提高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对特色产业可持续发展的影响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长期有效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研究报告意见适用时限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长期有效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成果被引用次数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不少于10次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成果应用率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100%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2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生态效益指标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促进我区经济和生态和谐发展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有效促进和谐发展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21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8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597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研究成果满意率</w:t>
                  </w:r>
                </w:p>
              </w:tc>
              <w:tc>
                <w:tcPr>
                  <w:tcW w:w="366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100%　</w:t>
                  </w:r>
                </w:p>
              </w:tc>
            </w:tr>
          </w:tbl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tbl>
            <w:tblPr>
              <w:tblStyle w:val="7"/>
              <w:tblW w:w="13973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5"/>
              <w:gridCol w:w="1857"/>
              <w:gridCol w:w="1664"/>
              <w:gridCol w:w="500"/>
              <w:gridCol w:w="1164"/>
              <w:gridCol w:w="323"/>
              <w:gridCol w:w="323"/>
              <w:gridCol w:w="1925"/>
              <w:gridCol w:w="249"/>
              <w:gridCol w:w="1132"/>
              <w:gridCol w:w="2143"/>
              <w:gridCol w:w="249"/>
              <w:gridCol w:w="24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397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831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区委财经办（金融办）</w:t>
                  </w:r>
                </w:p>
              </w:tc>
              <w:tc>
                <w:tcPr>
                  <w:tcW w:w="1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4022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金融创新及监管工作经费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2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110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110　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264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778" w:type="dxa"/>
                  <w:gridSpan w:val="1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tabs>
                      <w:tab w:val="left" w:pos="1623"/>
                    </w:tabs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1.做好金融创新服务中心规划及课题研究，推进金融创新服务中心建设，为政府决策提供建议支持；</w:t>
                  </w:r>
                </w:p>
                <w:p>
                  <w:pPr>
                    <w:widowControl/>
                    <w:tabs>
                      <w:tab w:val="left" w:pos="1623"/>
                    </w:tabs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2.开展高新区金融行业发展中心工作，为我区金融服务提供支持；</w:t>
                  </w:r>
                </w:p>
                <w:p>
                  <w:pPr>
                    <w:widowControl/>
                    <w:tabs>
                      <w:tab w:val="left" w:pos="1623"/>
                    </w:tabs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3.做好校地合作、盘古合作，我区提供智力支持与政策依据。</w:t>
                  </w:r>
                </w:p>
                <w:p>
                  <w:pPr>
                    <w:widowControl/>
                    <w:tabs>
                      <w:tab w:val="left" w:pos="1623"/>
                    </w:tabs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4.加强监管，防范风险，做好宣传工作，为我区金融稳定提供保障。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开展高新区金融行业发展中心业务论坛、会议、专项活动，推进中心成立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有效推进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非法集资线索举报奖励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有效举报提升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聘请法律咨询、顾问咨询费　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9万元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金融创新服务中心规划及课题研究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40万元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金融创新服务中心规划及课题研究按时结题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440" w:firstLineChars="8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按时结题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制作非法集资宣传品数量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不少于4万份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组织非法集资宣传活动次数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不少于3次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金融创新服务中心规划及课题研究评审合格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非法集资线索举报处置率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显著提高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项目效益指标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经济效益指标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金相关政策、建议被采纳次数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采用次数显著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金融创新服务中心规划及课题研究发挥作用的期限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至2020年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保障经济平稳运行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较显著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业务保障能力提升情况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有所提升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生态效益指标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环保论坛大会次数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不少于2次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非法集资宣传受众对象满意度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不低于80%　</w:t>
                  </w:r>
                </w:p>
              </w:tc>
            </w:tr>
          </w:tbl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tbl>
            <w:tblPr>
              <w:tblStyle w:val="7"/>
              <w:tblW w:w="133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8"/>
              <w:gridCol w:w="1776"/>
              <w:gridCol w:w="1591"/>
              <w:gridCol w:w="478"/>
              <w:gridCol w:w="1113"/>
              <w:gridCol w:w="309"/>
              <w:gridCol w:w="309"/>
              <w:gridCol w:w="1841"/>
              <w:gridCol w:w="238"/>
              <w:gridCol w:w="1082"/>
              <w:gridCol w:w="2049"/>
              <w:gridCol w:w="238"/>
              <w:gridCol w:w="23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</w:trPr>
              <w:tc>
                <w:tcPr>
                  <w:tcW w:w="1336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576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区委财经办（金融办）</w:t>
                  </w:r>
                </w:p>
              </w:tc>
              <w:tc>
                <w:tcPr>
                  <w:tcW w:w="1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3846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访惠聚人员补助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20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7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4.32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4.32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252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209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263" w:type="dxa"/>
                  <w:gridSpan w:val="1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更好的服务辖区群众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拨付全员访惠聚经费4.32万元　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拨付全员访惠聚经费4.32万元　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按时拨付访惠聚人员补助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按时拨付访惠聚人员补助 （1800/人/月）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保证人员按月全部发放到位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保证人员全部发放到位(2人）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保证每月发放2人次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保证每月发放2人次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发放12个月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发放12个月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严格按照文件精神发放补助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严格按照文件精神发放补助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补助已经全部到位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补助已经全部到位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项目效益指标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经济效益指标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对构建和谐建设提供帮助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90" w:firstLineChars="5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预计完成100%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协调社区工作人员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90" w:firstLineChars="5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预计完成100%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管理制度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管理制度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项目可持续发展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项目可持续发展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为辖区居民造福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为辖区居民造福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生态效益指标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适当力所能及改善辖区居民生活环境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适当力所能及改善辖区居民生活环境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塑造好的生态人文环境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塑造好的生态人文环境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辖区群众满意程度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上级单位满意程度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　</w:t>
                  </w:r>
                </w:p>
              </w:tc>
            </w:tr>
          </w:tbl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tbl>
            <w:tblPr>
              <w:tblStyle w:val="7"/>
              <w:tblW w:w="133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8"/>
              <w:gridCol w:w="1776"/>
              <w:gridCol w:w="1591"/>
              <w:gridCol w:w="478"/>
              <w:gridCol w:w="1113"/>
              <w:gridCol w:w="309"/>
              <w:gridCol w:w="309"/>
              <w:gridCol w:w="1841"/>
              <w:gridCol w:w="238"/>
              <w:gridCol w:w="1082"/>
              <w:gridCol w:w="2049"/>
              <w:gridCol w:w="238"/>
              <w:gridCol w:w="23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3" w:hRule="atLeast"/>
              </w:trPr>
              <w:tc>
                <w:tcPr>
                  <w:tcW w:w="1336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576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区委财经办（金融办）</w:t>
                  </w:r>
                </w:p>
              </w:tc>
              <w:tc>
                <w:tcPr>
                  <w:tcW w:w="18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3846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硕士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20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7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069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1.36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1.36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2526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209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263" w:type="dxa"/>
                  <w:gridSpan w:val="1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更好的服务辖区群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highlight w:val="none"/>
                    </w:rPr>
                    <w:t>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拨付硕士补贴1.36万元　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拨付硕士补助1.36万元　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按时拨付硕士补贴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按时拨付硕士补助 （400/人/月）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保证人员按月全部发放到位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保证人员全部发放到位(3人）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保证每月发放3人次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保证每月发放3人次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发放12个月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发放12个月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严格按照文件精神发放补助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严格按照文件精神发放补助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补助已经全部到位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补助已经全部到位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项目效益指标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经济效益指标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对构建和谐建设提供帮助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预计完成100%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协调部门工作人员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预计完成100%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管理制度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管理制度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项目可持续发展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项目可持续发展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促进辖区经济发展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促进辖区经济发展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生态效益指标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塑造好的生态人文环境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塑造好的生态人文环境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辖区群众满意程度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209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879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上级单位满意程度</w:t>
                  </w:r>
                </w:p>
              </w:tc>
              <w:tc>
                <w:tcPr>
                  <w:tcW w:w="3608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　</w:t>
                  </w:r>
                </w:p>
              </w:tc>
            </w:tr>
          </w:tbl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482" w:firstLineChars="15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无其他需要说明事项。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区委财经办（金融办）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19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65A91"/>
    <w:multiLevelType w:val="singleLevel"/>
    <w:tmpl w:val="CFE65A91"/>
    <w:lvl w:ilvl="0" w:tentative="0">
      <w:start w:val="1"/>
      <w:numFmt w:val="decimal"/>
      <w:suff w:val="nothing"/>
      <w:lvlText w:val="%1、"/>
      <w:lvlJc w:val="left"/>
      <w:pPr>
        <w:ind w:left="1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lOGFlNzAyMDU3YzdkNDBkNTYzMjk3NjY5MzlmNDYifQ=="/>
  </w:docVars>
  <w:rsids>
    <w:rsidRoot w:val="002B5144"/>
    <w:rsid w:val="000167F4"/>
    <w:rsid w:val="000413A4"/>
    <w:rsid w:val="000A3952"/>
    <w:rsid w:val="001533CF"/>
    <w:rsid w:val="00187E12"/>
    <w:rsid w:val="001A4C0D"/>
    <w:rsid w:val="002042B9"/>
    <w:rsid w:val="002256B4"/>
    <w:rsid w:val="00285014"/>
    <w:rsid w:val="002A0B86"/>
    <w:rsid w:val="002B5144"/>
    <w:rsid w:val="002C688C"/>
    <w:rsid w:val="0030026C"/>
    <w:rsid w:val="00325B17"/>
    <w:rsid w:val="0039509A"/>
    <w:rsid w:val="003A346F"/>
    <w:rsid w:val="003C744C"/>
    <w:rsid w:val="003D46BF"/>
    <w:rsid w:val="003E5721"/>
    <w:rsid w:val="0049168B"/>
    <w:rsid w:val="00495848"/>
    <w:rsid w:val="004A6708"/>
    <w:rsid w:val="004B1EFC"/>
    <w:rsid w:val="004C388D"/>
    <w:rsid w:val="004C43AA"/>
    <w:rsid w:val="005413BE"/>
    <w:rsid w:val="005951FC"/>
    <w:rsid w:val="005C4D7A"/>
    <w:rsid w:val="006036F6"/>
    <w:rsid w:val="00615E01"/>
    <w:rsid w:val="0066768B"/>
    <w:rsid w:val="006F2164"/>
    <w:rsid w:val="00714C20"/>
    <w:rsid w:val="00716E0D"/>
    <w:rsid w:val="007271EB"/>
    <w:rsid w:val="00732182"/>
    <w:rsid w:val="007327E6"/>
    <w:rsid w:val="00743D3E"/>
    <w:rsid w:val="00773FF0"/>
    <w:rsid w:val="007C0B06"/>
    <w:rsid w:val="007D1AF8"/>
    <w:rsid w:val="0089470D"/>
    <w:rsid w:val="008E45E1"/>
    <w:rsid w:val="008F3F12"/>
    <w:rsid w:val="0094473E"/>
    <w:rsid w:val="009F333B"/>
    <w:rsid w:val="00A451A5"/>
    <w:rsid w:val="00AA27D2"/>
    <w:rsid w:val="00AD39D8"/>
    <w:rsid w:val="00AF04A3"/>
    <w:rsid w:val="00B20991"/>
    <w:rsid w:val="00B87B30"/>
    <w:rsid w:val="00B916F7"/>
    <w:rsid w:val="00B9690F"/>
    <w:rsid w:val="00BC0466"/>
    <w:rsid w:val="00C55BF5"/>
    <w:rsid w:val="00C61E09"/>
    <w:rsid w:val="00C64E72"/>
    <w:rsid w:val="00C74BAA"/>
    <w:rsid w:val="00CB39DD"/>
    <w:rsid w:val="00CB477D"/>
    <w:rsid w:val="00CB689C"/>
    <w:rsid w:val="00DB0B4B"/>
    <w:rsid w:val="00E156D4"/>
    <w:rsid w:val="00E45526"/>
    <w:rsid w:val="00E57445"/>
    <w:rsid w:val="00E823AD"/>
    <w:rsid w:val="00E8341C"/>
    <w:rsid w:val="00EE5B28"/>
    <w:rsid w:val="00F86C21"/>
    <w:rsid w:val="00FC6ABD"/>
    <w:rsid w:val="308027C9"/>
    <w:rsid w:val="3A6E0DBA"/>
    <w:rsid w:val="424D0EAA"/>
    <w:rsid w:val="425517E2"/>
    <w:rsid w:val="44170D0D"/>
    <w:rsid w:val="477C4F69"/>
    <w:rsid w:val="4E057748"/>
    <w:rsid w:val="5C1F026F"/>
    <w:rsid w:val="5E1E4E86"/>
    <w:rsid w:val="5FBB49DF"/>
    <w:rsid w:val="650274D3"/>
    <w:rsid w:val="6AC314CD"/>
    <w:rsid w:val="71042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2287</Words>
  <Characters>13040</Characters>
  <Lines>108</Lines>
  <Paragraphs>30</Paragraphs>
  <TotalTime>17</TotalTime>
  <ScaleCrop>false</ScaleCrop>
  <LinksUpToDate>false</LinksUpToDate>
  <CharactersWithSpaces>15297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2019-02-23T08:13:00Z</dcterms:created>
  <dc:creator>王怡</dc:creator>
  <cp:lastModifiedBy>峰</cp:lastModifiedBy>
  <dcterms:modified xsi:type="dcterms:W3CDTF">2023-09-28T09:44:42Z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3BBEB63A5C4F447494ED0F2EACB9A172_12</vt:lpwstr>
  </property>
</Properties>
</file>