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color="auto" w:fill="FFFFFF"/>
        <w:autoSpaceDE w:val="0"/>
        <w:autoSpaceDN w:val="0"/>
        <w:adjustRightInd w:val="0"/>
        <w:spacing w:before="240" w:beforeLines="0" w:after="240" w:afterLines="0"/>
        <w:jc w:val="center"/>
        <w:rPr>
          <w:rFonts w:hint="default" w:ascii="Times New Roman" w:eastAsia="Times New Roman"/>
          <w:kern w:val="36"/>
          <w:sz w:val="40"/>
          <w:lang w:val="zh-CN"/>
        </w:rPr>
      </w:pPr>
    </w:p>
    <w:p>
      <w:pPr>
        <w:shd w:val="clear" w:color="auto" w:fill="FFFFFF"/>
        <w:autoSpaceDE w:val="0"/>
        <w:autoSpaceDN w:val="0"/>
        <w:adjustRightInd w:val="0"/>
        <w:spacing w:before="240" w:beforeLines="0" w:after="240" w:afterLines="0"/>
        <w:jc w:val="center"/>
        <w:rPr>
          <w:rFonts w:hint="default" w:ascii="Times New Roman" w:eastAsia="Times New Roman"/>
          <w:kern w:val="36"/>
          <w:sz w:val="40"/>
          <w:lang w:val="zh-CN"/>
        </w:rPr>
      </w:pPr>
    </w:p>
    <w:p>
      <w:pPr>
        <w:autoSpaceDE w:val="0"/>
        <w:autoSpaceDN w:val="0"/>
        <w:adjustRightInd w:val="0"/>
        <w:spacing w:beforeLines="0" w:afterLines="0"/>
        <w:jc w:val="center"/>
        <w:rPr>
          <w:rFonts w:hint="eastAsia" w:ascii="方正小标宋_GBK" w:hAnsi="Times New Roman" w:eastAsia="方正小标宋_GBK"/>
          <w:sz w:val="44"/>
        </w:rPr>
      </w:pPr>
      <w:r>
        <w:rPr>
          <w:rFonts w:hint="eastAsia" w:ascii="方正小标宋_GBK" w:hAnsi="Times New Roman" w:eastAsia="方正小标宋_GBK"/>
          <w:sz w:val="44"/>
        </w:rPr>
        <w:t>乌鲁木齐高新技术产业开发区（乌鲁木齐市新市区）委员会统一战线工作部</w:t>
      </w:r>
    </w:p>
    <w:p>
      <w:pPr>
        <w:autoSpaceDE w:val="0"/>
        <w:autoSpaceDN w:val="0"/>
        <w:adjustRightInd w:val="0"/>
        <w:spacing w:beforeLines="0" w:afterLines="0"/>
        <w:jc w:val="center"/>
        <w:rPr>
          <w:rFonts w:hint="default" w:ascii="Times New Roman" w:hAnsi="Times New Roman" w:eastAsia="方正小标宋_GBK"/>
          <w:kern w:val="36"/>
          <w:sz w:val="40"/>
          <w:lang w:val="zh-CN"/>
        </w:rPr>
      </w:pPr>
      <w:r>
        <w:rPr>
          <w:rFonts w:hint="eastAsia" w:ascii="方正小标宋_GBK" w:hAnsi="Times New Roman" w:eastAsia="方正小标宋_GBK"/>
          <w:sz w:val="44"/>
        </w:rPr>
        <w:t>2021年度部门决算公开说明</w:t>
      </w:r>
    </w:p>
    <w:p>
      <w:pPr>
        <w:shd w:val="clear" w:color="auto" w:fill="FFFFFF"/>
        <w:autoSpaceDE w:val="0"/>
        <w:autoSpaceDN w:val="0"/>
        <w:adjustRightInd w:val="0"/>
        <w:spacing w:before="240" w:beforeLines="0" w:after="240" w:afterLines="0"/>
        <w:jc w:val="center"/>
        <w:rPr>
          <w:rFonts w:hint="default" w:ascii="Times New Roman" w:hAnsi="Times New Roman"/>
          <w:kern w:val="36"/>
          <w:sz w:val="40"/>
          <w:lang w:val="zh-CN"/>
        </w:rPr>
      </w:pPr>
    </w:p>
    <w:p>
      <w:pPr>
        <w:autoSpaceDE w:val="0"/>
        <w:autoSpaceDN w:val="0"/>
        <w:adjustRightInd w:val="0"/>
        <w:spacing w:beforeLines="0" w:afterLines="0" w:line="540" w:lineRule="exact"/>
        <w:jc w:val="center"/>
        <w:rPr>
          <w:rFonts w:hint="default" w:ascii="Times New Roman" w:hAnsi="Times New Roman" w:eastAsia="仿宋_GB2312"/>
          <w:b/>
          <w:kern w:val="0"/>
          <w:sz w:val="24"/>
        </w:rPr>
      </w:pPr>
      <w:r>
        <w:rPr>
          <w:rFonts w:hint="default" w:ascii="Times New Roman" w:hAnsi="Times New Roman"/>
          <w:b/>
          <w:kern w:val="36"/>
          <w:sz w:val="36"/>
        </w:rPr>
        <w:br w:type="page"/>
      </w:r>
      <w:r>
        <w:rPr>
          <w:rFonts w:hint="eastAsia" w:ascii="仿宋_GB2312" w:hAnsi="Times New Roman" w:eastAsia="仿宋_GB2312"/>
          <w:b/>
          <w:kern w:val="0"/>
          <w:sz w:val="36"/>
        </w:rPr>
        <w:t>目  录</w:t>
      </w:r>
    </w:p>
    <w:p>
      <w:pPr>
        <w:autoSpaceDE w:val="0"/>
        <w:autoSpaceDN w:val="0"/>
        <w:adjustRightInd w:val="0"/>
        <w:spacing w:beforeLines="0" w:afterLines="0" w:line="540" w:lineRule="exact"/>
        <w:rPr>
          <w:rFonts w:hint="default" w:ascii="Times New Roman" w:hAnsi="Times New Roman" w:eastAsia="仿宋_GB2312"/>
          <w:kern w:val="0"/>
          <w:sz w:val="32"/>
        </w:rPr>
      </w:pPr>
      <w:r>
        <w:rPr>
          <w:rFonts w:hint="eastAsia" w:ascii="仿宋_GB2312" w:hAnsi="Times New Roman" w:eastAsia="仿宋_GB2312"/>
          <w:b/>
          <w:kern w:val="0"/>
          <w:sz w:val="32"/>
        </w:rPr>
        <w:t>第一部分 部门单位概况</w:t>
      </w:r>
    </w:p>
    <w:p>
      <w:pPr>
        <w:autoSpaceDE w:val="0"/>
        <w:autoSpaceDN w:val="0"/>
        <w:adjustRightInd w:val="0"/>
        <w:spacing w:beforeLines="0" w:afterLines="0" w:line="540" w:lineRule="exact"/>
        <w:rPr>
          <w:rFonts w:hint="default" w:ascii="Times New Roman" w:hAnsi="Times New Roman" w:eastAsia="仿宋_GB2312"/>
          <w:kern w:val="0"/>
          <w:sz w:val="32"/>
        </w:rPr>
      </w:pPr>
      <w:r>
        <w:rPr>
          <w:rFonts w:hint="eastAsia" w:ascii="仿宋_GB2312" w:hAnsi="Times New Roman" w:eastAsia="仿宋_GB2312"/>
          <w:kern w:val="0"/>
          <w:sz w:val="32"/>
        </w:rPr>
        <w:t>一、主要职能</w:t>
      </w:r>
    </w:p>
    <w:p>
      <w:pPr>
        <w:autoSpaceDE w:val="0"/>
        <w:autoSpaceDN w:val="0"/>
        <w:adjustRightInd w:val="0"/>
        <w:spacing w:beforeLines="0" w:afterLines="0" w:line="540" w:lineRule="exact"/>
        <w:rPr>
          <w:rFonts w:hint="default" w:ascii="Times New Roman" w:hAnsi="Times New Roman" w:eastAsia="仿宋_GB2312"/>
          <w:kern w:val="0"/>
          <w:sz w:val="32"/>
        </w:rPr>
      </w:pPr>
      <w:r>
        <w:rPr>
          <w:rFonts w:hint="eastAsia" w:ascii="仿宋_GB2312" w:hAnsi="Times New Roman" w:eastAsia="仿宋_GB2312"/>
          <w:kern w:val="0"/>
          <w:sz w:val="32"/>
        </w:rPr>
        <w:t>二、</w:t>
      </w:r>
      <w:r>
        <w:rPr>
          <w:rFonts w:hint="eastAsia" w:ascii="仿宋_GB2312" w:hAnsi="Times New Roman" w:eastAsia="仿宋_GB2312"/>
          <w:sz w:val="32"/>
        </w:rPr>
        <w:t>机构设置及人员情况</w:t>
      </w:r>
    </w:p>
    <w:p>
      <w:pPr>
        <w:autoSpaceDE w:val="0"/>
        <w:autoSpaceDN w:val="0"/>
        <w:adjustRightInd w:val="0"/>
        <w:spacing w:beforeLines="0" w:afterLines="0" w:line="540" w:lineRule="exact"/>
        <w:rPr>
          <w:rFonts w:hint="default" w:ascii="Times New Roman" w:hAnsi="Times New Roman" w:eastAsia="仿宋_GB2312"/>
          <w:kern w:val="0"/>
          <w:sz w:val="32"/>
        </w:rPr>
      </w:pPr>
      <w:r>
        <w:rPr>
          <w:rFonts w:hint="eastAsia" w:ascii="仿宋_GB2312" w:hAnsi="Times New Roman" w:eastAsia="仿宋_GB2312"/>
          <w:b/>
          <w:kern w:val="0"/>
          <w:sz w:val="32"/>
        </w:rPr>
        <w:t>第二部分 部门决算情况说明</w:t>
      </w:r>
    </w:p>
    <w:p>
      <w:pPr>
        <w:autoSpaceDE w:val="0"/>
        <w:autoSpaceDN w:val="0"/>
        <w:adjustRightInd w:val="0"/>
        <w:spacing w:beforeLines="0" w:afterLines="0" w:line="540" w:lineRule="exact"/>
        <w:rPr>
          <w:rFonts w:hint="default" w:ascii="Times New Roman" w:hAnsi="Times New Roman" w:eastAsia="仿宋_GB2312"/>
          <w:sz w:val="32"/>
        </w:rPr>
      </w:pPr>
      <w:r>
        <w:rPr>
          <w:rFonts w:hint="eastAsia" w:ascii="仿宋_GB2312" w:hAnsi="Times New Roman" w:eastAsia="仿宋_GB2312"/>
          <w:sz w:val="32"/>
        </w:rPr>
        <w:t>一、收入支出决算总体情况说明</w:t>
      </w:r>
    </w:p>
    <w:p>
      <w:pPr>
        <w:autoSpaceDE w:val="0"/>
        <w:autoSpaceDN w:val="0"/>
        <w:adjustRightInd w:val="0"/>
        <w:spacing w:beforeLines="0" w:afterLines="0" w:line="540" w:lineRule="exact"/>
        <w:rPr>
          <w:rFonts w:hint="default" w:ascii="Times New Roman" w:hAnsi="Times New Roman" w:eastAsia="仿宋_GB2312"/>
          <w:sz w:val="32"/>
        </w:rPr>
      </w:pPr>
      <w:r>
        <w:rPr>
          <w:rFonts w:hint="eastAsia" w:ascii="仿宋_GB2312" w:hAnsi="Times New Roman" w:eastAsia="仿宋_GB2312"/>
          <w:sz w:val="32"/>
        </w:rPr>
        <w:t>二、收入决算情况说明</w:t>
      </w:r>
    </w:p>
    <w:p>
      <w:pPr>
        <w:autoSpaceDE w:val="0"/>
        <w:autoSpaceDN w:val="0"/>
        <w:adjustRightInd w:val="0"/>
        <w:spacing w:beforeLines="0" w:afterLines="0" w:line="540" w:lineRule="exact"/>
        <w:rPr>
          <w:rFonts w:hint="default" w:ascii="Times New Roman" w:hAnsi="Times New Roman" w:eastAsia="仿宋_GB2312"/>
          <w:sz w:val="32"/>
        </w:rPr>
      </w:pPr>
      <w:r>
        <w:rPr>
          <w:rFonts w:hint="eastAsia" w:ascii="仿宋_GB2312" w:hAnsi="Times New Roman" w:eastAsia="仿宋_GB2312"/>
          <w:sz w:val="32"/>
        </w:rPr>
        <w:t>三、支出决算情况说明</w:t>
      </w:r>
    </w:p>
    <w:p>
      <w:pPr>
        <w:autoSpaceDE w:val="0"/>
        <w:autoSpaceDN w:val="0"/>
        <w:adjustRightInd w:val="0"/>
        <w:spacing w:beforeLines="0" w:afterLines="0" w:line="540" w:lineRule="exact"/>
        <w:rPr>
          <w:rFonts w:hint="default" w:ascii="Times New Roman" w:hAnsi="Times New Roman" w:eastAsia="仿宋_GB2312"/>
          <w:sz w:val="32"/>
        </w:rPr>
      </w:pPr>
      <w:r>
        <w:rPr>
          <w:rFonts w:hint="eastAsia" w:ascii="仿宋_GB2312" w:hAnsi="Times New Roman" w:eastAsia="仿宋_GB2312"/>
          <w:sz w:val="32"/>
        </w:rPr>
        <w:t>四、财政拨款收入支出决算总体情况说明</w:t>
      </w:r>
    </w:p>
    <w:p>
      <w:pPr>
        <w:autoSpaceDE w:val="0"/>
        <w:autoSpaceDN w:val="0"/>
        <w:adjustRightInd w:val="0"/>
        <w:spacing w:beforeLines="0" w:afterLines="0" w:line="540" w:lineRule="exact"/>
        <w:rPr>
          <w:rFonts w:hint="default" w:ascii="Times New Roman" w:hAnsi="Times New Roman" w:eastAsia="仿宋_GB2312"/>
          <w:sz w:val="32"/>
        </w:rPr>
      </w:pPr>
      <w:r>
        <w:rPr>
          <w:rFonts w:hint="eastAsia" w:ascii="仿宋_GB2312" w:hAnsi="Times New Roman" w:eastAsia="仿宋_GB2312"/>
          <w:sz w:val="32"/>
        </w:rPr>
        <w:t>五、一般公共预算财政拨款支出决算情况说明</w:t>
      </w:r>
    </w:p>
    <w:p>
      <w:pPr>
        <w:autoSpaceDE w:val="0"/>
        <w:autoSpaceDN w:val="0"/>
        <w:adjustRightInd w:val="0"/>
        <w:spacing w:beforeLines="0" w:afterLines="0" w:line="540" w:lineRule="exact"/>
        <w:rPr>
          <w:rFonts w:hint="default" w:ascii="Times New Roman" w:hAnsi="Times New Roman" w:eastAsia="仿宋_GB2312"/>
          <w:sz w:val="32"/>
        </w:rPr>
      </w:pPr>
      <w:r>
        <w:rPr>
          <w:rFonts w:hint="eastAsia" w:ascii="仿宋_GB2312" w:hAnsi="Times New Roman" w:eastAsia="仿宋_GB2312"/>
          <w:sz w:val="32"/>
        </w:rPr>
        <w:t>六、一般公共预算财政拨款基本支出决算情况说明</w:t>
      </w:r>
    </w:p>
    <w:p>
      <w:pPr>
        <w:autoSpaceDE w:val="0"/>
        <w:autoSpaceDN w:val="0"/>
        <w:adjustRightInd w:val="0"/>
        <w:spacing w:beforeLines="0" w:afterLines="0" w:line="540" w:lineRule="exact"/>
        <w:rPr>
          <w:rFonts w:hint="default" w:ascii="Times New Roman" w:hAnsi="Times New Roman" w:eastAsia="仿宋_GB2312"/>
          <w:sz w:val="32"/>
        </w:rPr>
      </w:pPr>
      <w:r>
        <w:rPr>
          <w:rFonts w:hint="eastAsia" w:ascii="仿宋_GB2312" w:hAnsi="Times New Roman" w:eastAsia="仿宋_GB2312"/>
          <w:sz w:val="32"/>
        </w:rPr>
        <w:t>七、一般公共预算财政拨款</w:t>
      </w:r>
      <w:r>
        <w:rPr>
          <w:rFonts w:hint="default" w:ascii="Times New Roman" w:hAnsi="Times New Roman" w:eastAsia="仿宋_GB2312"/>
          <w:sz w:val="32"/>
        </w:rPr>
        <w:t>“</w:t>
      </w:r>
      <w:r>
        <w:rPr>
          <w:rFonts w:hint="eastAsia" w:ascii="仿宋_GB2312" w:hAnsi="Times New Roman" w:eastAsia="仿宋_GB2312"/>
          <w:sz w:val="32"/>
        </w:rPr>
        <w:t>三公</w:t>
      </w:r>
      <w:r>
        <w:rPr>
          <w:rFonts w:hint="default" w:ascii="Times New Roman" w:hAnsi="Times New Roman" w:eastAsia="仿宋_GB2312"/>
          <w:sz w:val="32"/>
        </w:rPr>
        <w:t>”</w:t>
      </w:r>
      <w:r>
        <w:rPr>
          <w:rFonts w:hint="eastAsia" w:ascii="仿宋_GB2312" w:hAnsi="Times New Roman" w:eastAsia="仿宋_GB2312"/>
          <w:sz w:val="32"/>
        </w:rPr>
        <w:t>经费支出决算情况说明</w:t>
      </w:r>
    </w:p>
    <w:p>
      <w:pPr>
        <w:autoSpaceDE w:val="0"/>
        <w:autoSpaceDN w:val="0"/>
        <w:adjustRightInd w:val="0"/>
        <w:spacing w:beforeLines="0" w:afterLines="0" w:line="540" w:lineRule="exact"/>
        <w:rPr>
          <w:rFonts w:hint="default" w:ascii="Times New Roman" w:hAnsi="Times New Roman" w:eastAsia="仿宋_GB2312"/>
          <w:sz w:val="32"/>
        </w:rPr>
      </w:pPr>
      <w:r>
        <w:rPr>
          <w:rFonts w:hint="eastAsia" w:ascii="仿宋_GB2312" w:hAnsi="Times New Roman" w:eastAsia="仿宋_GB2312"/>
          <w:sz w:val="32"/>
        </w:rPr>
        <w:t>八、政府性基金预算</w:t>
      </w:r>
      <w:r>
        <w:rPr>
          <w:rFonts w:hint="eastAsia" w:ascii="仿宋_GB2312" w:hAnsi="Times New Roman" w:eastAsia="仿宋_GB2312"/>
          <w:sz w:val="32"/>
          <w:lang w:val="zh-CN"/>
        </w:rPr>
        <w:t>财政拨款</w:t>
      </w:r>
      <w:r>
        <w:rPr>
          <w:rFonts w:hint="eastAsia" w:ascii="仿宋_GB2312" w:hAnsi="Times New Roman" w:eastAsia="仿宋_GB2312"/>
          <w:sz w:val="32"/>
        </w:rPr>
        <w:t>收入支出决算情况说明</w:t>
      </w:r>
    </w:p>
    <w:p>
      <w:pPr>
        <w:autoSpaceDE w:val="0"/>
        <w:autoSpaceDN w:val="0"/>
        <w:adjustRightInd w:val="0"/>
        <w:spacing w:beforeLines="0" w:afterLines="0" w:line="540" w:lineRule="exact"/>
        <w:rPr>
          <w:rFonts w:hint="default" w:ascii="Times New Roman" w:hAnsi="Times New Roman" w:eastAsia="仿宋_GB2312"/>
          <w:sz w:val="32"/>
        </w:rPr>
      </w:pPr>
      <w:r>
        <w:rPr>
          <w:rFonts w:hint="eastAsia" w:ascii="仿宋_GB2312" w:hAnsi="Times New Roman" w:eastAsia="仿宋_GB2312"/>
          <w:sz w:val="32"/>
        </w:rPr>
        <w:t>九、国有资本经营预算财政拨款收入支出决算情况说明</w:t>
      </w:r>
    </w:p>
    <w:p>
      <w:pPr>
        <w:autoSpaceDE w:val="0"/>
        <w:autoSpaceDN w:val="0"/>
        <w:adjustRightInd w:val="0"/>
        <w:spacing w:beforeLines="0" w:afterLines="0" w:line="540" w:lineRule="exact"/>
        <w:rPr>
          <w:rFonts w:hint="default" w:ascii="Times New Roman" w:hAnsi="Times New Roman" w:eastAsia="仿宋_GB2312"/>
          <w:sz w:val="32"/>
        </w:rPr>
      </w:pPr>
      <w:r>
        <w:rPr>
          <w:rFonts w:hint="eastAsia" w:ascii="仿宋_GB2312" w:hAnsi="Times New Roman" w:eastAsia="仿宋_GB2312"/>
          <w:sz w:val="32"/>
        </w:rPr>
        <w:t>十、其他重要事项的情况说明</w:t>
      </w:r>
    </w:p>
    <w:p>
      <w:pPr>
        <w:autoSpaceDE w:val="0"/>
        <w:autoSpaceDN w:val="0"/>
        <w:adjustRightInd w:val="0"/>
        <w:spacing w:beforeLines="0" w:afterLines="0" w:line="540" w:lineRule="exact"/>
        <w:rPr>
          <w:rFonts w:hint="default" w:ascii="Times New Roman" w:hAnsi="Times New Roman" w:eastAsia="仿宋_GB2312"/>
          <w:sz w:val="32"/>
        </w:rPr>
      </w:pPr>
      <w:r>
        <w:rPr>
          <w:rFonts w:hint="eastAsia" w:ascii="仿宋_GB2312" w:hAnsi="Times New Roman" w:eastAsia="仿宋_GB2312"/>
          <w:sz w:val="32"/>
        </w:rPr>
        <w:t>（一）机关运行经费支出情况</w:t>
      </w:r>
    </w:p>
    <w:p>
      <w:pPr>
        <w:autoSpaceDE w:val="0"/>
        <w:autoSpaceDN w:val="0"/>
        <w:adjustRightInd w:val="0"/>
        <w:spacing w:beforeLines="0" w:afterLines="0" w:line="540" w:lineRule="exact"/>
        <w:rPr>
          <w:rFonts w:hint="default" w:ascii="Times New Roman" w:hAnsi="Times New Roman" w:eastAsia="仿宋_GB2312"/>
          <w:sz w:val="32"/>
        </w:rPr>
      </w:pPr>
      <w:r>
        <w:rPr>
          <w:rFonts w:hint="eastAsia" w:ascii="仿宋_GB2312" w:hAnsi="Times New Roman" w:eastAsia="仿宋_GB2312"/>
          <w:sz w:val="32"/>
        </w:rPr>
        <w:t>（二）政府采购情况</w:t>
      </w:r>
    </w:p>
    <w:p>
      <w:pPr>
        <w:autoSpaceDE w:val="0"/>
        <w:autoSpaceDN w:val="0"/>
        <w:adjustRightInd w:val="0"/>
        <w:spacing w:beforeLines="0" w:afterLines="0" w:line="540" w:lineRule="exact"/>
        <w:rPr>
          <w:rFonts w:hint="default" w:ascii="Times New Roman" w:hAnsi="Times New Roman" w:eastAsia="仿宋_GB2312"/>
          <w:sz w:val="32"/>
        </w:rPr>
      </w:pPr>
      <w:r>
        <w:rPr>
          <w:rFonts w:hint="eastAsia" w:ascii="仿宋_GB2312" w:hAnsi="Times New Roman" w:eastAsia="仿宋_GB2312"/>
          <w:sz w:val="32"/>
        </w:rPr>
        <w:t>（三）国有资产占用情况说明</w:t>
      </w:r>
    </w:p>
    <w:p>
      <w:pPr>
        <w:autoSpaceDE w:val="0"/>
        <w:autoSpaceDN w:val="0"/>
        <w:adjustRightInd w:val="0"/>
        <w:spacing w:beforeLines="0" w:afterLines="0" w:line="540" w:lineRule="exact"/>
        <w:rPr>
          <w:rFonts w:hint="default" w:ascii="Times New Roman" w:hAnsi="Times New Roman" w:eastAsia="仿宋_GB2312"/>
          <w:sz w:val="32"/>
        </w:rPr>
      </w:pPr>
      <w:r>
        <w:rPr>
          <w:rFonts w:hint="eastAsia" w:ascii="仿宋_GB2312" w:hAnsi="Times New Roman" w:eastAsia="仿宋_GB2312"/>
          <w:sz w:val="32"/>
        </w:rPr>
        <w:t>十</w:t>
      </w:r>
      <w:r>
        <w:rPr>
          <w:rFonts w:hint="eastAsia" w:ascii="仿宋_GB2312" w:hAnsi="Times New Roman" w:eastAsia="仿宋_GB2312"/>
          <w:sz w:val="32"/>
          <w:lang w:val="zh-CN"/>
        </w:rPr>
        <w:t>一</w:t>
      </w:r>
      <w:r>
        <w:rPr>
          <w:rFonts w:hint="eastAsia" w:ascii="仿宋_GB2312" w:hAnsi="Times New Roman" w:eastAsia="仿宋_GB2312"/>
          <w:sz w:val="32"/>
        </w:rPr>
        <w:t>、预算绩效的情况说明</w:t>
      </w:r>
    </w:p>
    <w:p>
      <w:pPr>
        <w:autoSpaceDE w:val="0"/>
        <w:autoSpaceDN w:val="0"/>
        <w:adjustRightInd w:val="0"/>
        <w:spacing w:beforeLines="0" w:afterLines="0" w:line="540" w:lineRule="exact"/>
        <w:rPr>
          <w:rFonts w:hint="default" w:ascii="Times New Roman" w:hAnsi="Times New Roman" w:eastAsia="仿宋_GB2312"/>
          <w:b/>
          <w:kern w:val="0"/>
          <w:sz w:val="32"/>
        </w:rPr>
      </w:pPr>
      <w:r>
        <w:rPr>
          <w:rFonts w:hint="eastAsia" w:ascii="仿宋_GB2312" w:hAnsi="Times New Roman" w:eastAsia="仿宋_GB2312"/>
          <w:b/>
          <w:kern w:val="0"/>
          <w:sz w:val="32"/>
        </w:rPr>
        <w:t>第三部分 专业名词解释</w:t>
      </w:r>
    </w:p>
    <w:p>
      <w:pPr>
        <w:autoSpaceDE w:val="0"/>
        <w:autoSpaceDN w:val="0"/>
        <w:adjustRightInd w:val="0"/>
        <w:spacing w:beforeLines="0" w:afterLines="0" w:line="540" w:lineRule="exact"/>
        <w:rPr>
          <w:rFonts w:hint="default" w:ascii="Times New Roman" w:hAnsi="Times New Roman" w:eastAsia="仿宋_GB2312"/>
          <w:b/>
          <w:kern w:val="0"/>
          <w:sz w:val="32"/>
        </w:rPr>
      </w:pPr>
      <w:r>
        <w:rPr>
          <w:rFonts w:hint="eastAsia" w:ascii="仿宋_GB2312" w:hAnsi="Times New Roman" w:eastAsia="仿宋_GB2312"/>
          <w:b/>
          <w:kern w:val="0"/>
          <w:sz w:val="32"/>
        </w:rPr>
        <w:t>第四部分 部</w:t>
      </w:r>
      <w:r>
        <w:rPr>
          <w:rFonts w:hint="eastAsia" w:ascii="仿宋_GB2312" w:hAnsi="Times New Roman" w:eastAsia="仿宋_GB2312"/>
          <w:b/>
          <w:sz w:val="32"/>
        </w:rPr>
        <w:t>门决算报表（见附表）</w:t>
      </w:r>
    </w:p>
    <w:p>
      <w:pPr>
        <w:autoSpaceDE w:val="0"/>
        <w:autoSpaceDN w:val="0"/>
        <w:adjustRightInd w:val="0"/>
        <w:spacing w:beforeLines="0" w:afterLines="0" w:line="540" w:lineRule="exact"/>
        <w:rPr>
          <w:rFonts w:hint="default" w:ascii="Times New Roman" w:hAnsi="Times New Roman" w:eastAsia="仿宋_GB2312"/>
          <w:sz w:val="32"/>
        </w:rPr>
      </w:pPr>
      <w:r>
        <w:rPr>
          <w:rFonts w:hint="eastAsia" w:ascii="仿宋_GB2312" w:hAnsi="Times New Roman" w:eastAsia="仿宋_GB2312"/>
          <w:sz w:val="32"/>
        </w:rPr>
        <w:t>一、《收入支出决算总表》</w:t>
      </w:r>
    </w:p>
    <w:p>
      <w:pPr>
        <w:autoSpaceDE w:val="0"/>
        <w:autoSpaceDN w:val="0"/>
        <w:adjustRightInd w:val="0"/>
        <w:spacing w:beforeLines="0" w:afterLines="0" w:line="540" w:lineRule="exact"/>
        <w:rPr>
          <w:rFonts w:hint="default" w:ascii="Times New Roman" w:hAnsi="Times New Roman" w:eastAsia="仿宋_GB2312"/>
          <w:sz w:val="32"/>
        </w:rPr>
      </w:pPr>
      <w:r>
        <w:rPr>
          <w:rFonts w:hint="eastAsia" w:ascii="仿宋_GB2312" w:hAnsi="Times New Roman" w:eastAsia="仿宋_GB2312"/>
          <w:sz w:val="32"/>
        </w:rPr>
        <w:t>二、《收入决算表》</w:t>
      </w:r>
    </w:p>
    <w:p>
      <w:pPr>
        <w:autoSpaceDE w:val="0"/>
        <w:autoSpaceDN w:val="0"/>
        <w:adjustRightInd w:val="0"/>
        <w:spacing w:beforeLines="0" w:afterLines="0" w:line="540" w:lineRule="exact"/>
        <w:rPr>
          <w:rFonts w:hint="default" w:ascii="Times New Roman" w:hAnsi="Times New Roman" w:eastAsia="仿宋_GB2312"/>
          <w:sz w:val="32"/>
        </w:rPr>
      </w:pPr>
      <w:r>
        <w:rPr>
          <w:rFonts w:hint="eastAsia" w:ascii="仿宋_GB2312" w:hAnsi="Times New Roman" w:eastAsia="仿宋_GB2312"/>
          <w:sz w:val="32"/>
        </w:rPr>
        <w:t>三、《支出决算表》</w:t>
      </w:r>
    </w:p>
    <w:p>
      <w:pPr>
        <w:autoSpaceDE w:val="0"/>
        <w:autoSpaceDN w:val="0"/>
        <w:adjustRightInd w:val="0"/>
        <w:spacing w:beforeLines="0" w:afterLines="0" w:line="540" w:lineRule="exact"/>
        <w:rPr>
          <w:rFonts w:hint="default" w:ascii="Times New Roman" w:hAnsi="Times New Roman" w:eastAsia="仿宋_GB2312"/>
          <w:sz w:val="32"/>
        </w:rPr>
      </w:pPr>
      <w:r>
        <w:rPr>
          <w:rFonts w:hint="eastAsia" w:ascii="仿宋_GB2312" w:hAnsi="Times New Roman" w:eastAsia="仿宋_GB2312"/>
          <w:sz w:val="32"/>
        </w:rPr>
        <w:t>四、《财政拨款收入支出决算总表》</w:t>
      </w:r>
    </w:p>
    <w:p>
      <w:pPr>
        <w:autoSpaceDE w:val="0"/>
        <w:autoSpaceDN w:val="0"/>
        <w:adjustRightInd w:val="0"/>
        <w:spacing w:beforeLines="0" w:afterLines="0" w:line="540" w:lineRule="exact"/>
        <w:rPr>
          <w:rFonts w:hint="default" w:ascii="Times New Roman" w:hAnsi="Times New Roman" w:eastAsia="仿宋_GB2312"/>
          <w:sz w:val="32"/>
        </w:rPr>
      </w:pPr>
      <w:r>
        <w:rPr>
          <w:rFonts w:hint="eastAsia" w:ascii="仿宋_GB2312" w:hAnsi="Times New Roman" w:eastAsia="仿宋_GB2312"/>
          <w:sz w:val="32"/>
        </w:rPr>
        <w:t>五、《一般公共预算财政拨款支出决算表》</w:t>
      </w:r>
    </w:p>
    <w:p>
      <w:pPr>
        <w:autoSpaceDE w:val="0"/>
        <w:autoSpaceDN w:val="0"/>
        <w:adjustRightInd w:val="0"/>
        <w:spacing w:beforeLines="0" w:afterLines="0" w:line="540" w:lineRule="exact"/>
        <w:rPr>
          <w:rFonts w:hint="default" w:ascii="Times New Roman" w:hAnsi="Times New Roman" w:eastAsia="仿宋_GB2312"/>
          <w:sz w:val="32"/>
        </w:rPr>
      </w:pPr>
      <w:r>
        <w:rPr>
          <w:rFonts w:hint="eastAsia" w:ascii="仿宋_GB2312" w:hAnsi="Times New Roman" w:eastAsia="仿宋_GB2312"/>
          <w:sz w:val="32"/>
        </w:rPr>
        <w:t>六、《一般公共预算财政拨款基本支出决算表》</w:t>
      </w:r>
    </w:p>
    <w:p>
      <w:pPr>
        <w:autoSpaceDE w:val="0"/>
        <w:autoSpaceDN w:val="0"/>
        <w:adjustRightInd w:val="0"/>
        <w:spacing w:beforeLines="0" w:afterLines="0" w:line="540" w:lineRule="exact"/>
        <w:rPr>
          <w:rFonts w:hint="default" w:ascii="Times New Roman" w:hAnsi="Times New Roman" w:eastAsia="仿宋_GB2312"/>
          <w:sz w:val="32"/>
        </w:rPr>
      </w:pPr>
      <w:r>
        <w:rPr>
          <w:rFonts w:hint="eastAsia" w:ascii="仿宋_GB2312" w:hAnsi="Times New Roman" w:eastAsia="仿宋_GB2312"/>
          <w:sz w:val="32"/>
        </w:rPr>
        <w:t>七、《一般公共预算财政拨款</w:t>
      </w:r>
      <w:r>
        <w:rPr>
          <w:rFonts w:hint="default" w:ascii="Times New Roman" w:hAnsi="Times New Roman" w:eastAsia="仿宋_GB2312"/>
          <w:sz w:val="32"/>
        </w:rPr>
        <w:t>“</w:t>
      </w:r>
      <w:r>
        <w:rPr>
          <w:rFonts w:hint="eastAsia" w:ascii="仿宋_GB2312" w:hAnsi="Times New Roman" w:eastAsia="仿宋_GB2312"/>
          <w:sz w:val="32"/>
        </w:rPr>
        <w:t>三公</w:t>
      </w:r>
      <w:r>
        <w:rPr>
          <w:rFonts w:hint="default" w:ascii="Times New Roman" w:hAnsi="Times New Roman" w:eastAsia="仿宋_GB2312"/>
          <w:sz w:val="32"/>
        </w:rPr>
        <w:t>”</w:t>
      </w:r>
      <w:r>
        <w:rPr>
          <w:rFonts w:hint="eastAsia" w:ascii="仿宋_GB2312" w:hAnsi="Times New Roman" w:eastAsia="仿宋_GB2312"/>
          <w:sz w:val="32"/>
        </w:rPr>
        <w:t>经费支出决算表》</w:t>
      </w:r>
    </w:p>
    <w:p>
      <w:pPr>
        <w:autoSpaceDE w:val="0"/>
        <w:autoSpaceDN w:val="0"/>
        <w:adjustRightInd w:val="0"/>
        <w:spacing w:beforeLines="0" w:afterLines="0" w:line="540" w:lineRule="exact"/>
        <w:rPr>
          <w:rFonts w:hint="default" w:ascii="Times New Roman" w:hAnsi="Times New Roman" w:eastAsia="仿宋_GB2312"/>
          <w:sz w:val="32"/>
        </w:rPr>
      </w:pPr>
      <w:r>
        <w:rPr>
          <w:rFonts w:hint="eastAsia" w:ascii="仿宋_GB2312" w:hAnsi="Times New Roman" w:eastAsia="仿宋_GB2312"/>
          <w:sz w:val="32"/>
        </w:rPr>
        <w:t>八、《政府性基金预算财政拨款收入支出决算表》</w:t>
      </w:r>
    </w:p>
    <w:p>
      <w:pPr>
        <w:autoSpaceDE w:val="0"/>
        <w:autoSpaceDN w:val="0"/>
        <w:adjustRightInd w:val="0"/>
        <w:spacing w:beforeLines="0" w:afterLines="0" w:line="540" w:lineRule="exact"/>
        <w:rPr>
          <w:rFonts w:hint="default" w:ascii="Times New Roman" w:hAnsi="Times New Roman" w:eastAsia="仿宋_GB2312"/>
          <w:sz w:val="32"/>
        </w:rPr>
      </w:pPr>
      <w:r>
        <w:rPr>
          <w:rFonts w:hint="eastAsia" w:ascii="仿宋_GB2312" w:hAnsi="Times New Roman" w:eastAsia="仿宋_GB2312"/>
          <w:sz w:val="32"/>
        </w:rPr>
        <w:t>九、《国有资本经营预算财政拨款收入支出决算表》</w:t>
      </w:r>
    </w:p>
    <w:p>
      <w:pPr>
        <w:autoSpaceDE w:val="0"/>
        <w:autoSpaceDN w:val="0"/>
        <w:adjustRightInd w:val="0"/>
        <w:spacing w:beforeLines="0" w:afterLines="0" w:line="540" w:lineRule="exact"/>
        <w:ind w:firstLine="640"/>
        <w:rPr>
          <w:rFonts w:hint="default" w:ascii="Times New Roman" w:hAnsi="Times New Roman" w:eastAsia="仿宋_GB2312"/>
          <w:b/>
          <w:kern w:val="0"/>
          <w:sz w:val="28"/>
        </w:rPr>
      </w:pPr>
    </w:p>
    <w:p>
      <w:pPr>
        <w:shd w:val="clear" w:color="auto" w:fill="FFFFFF"/>
        <w:autoSpaceDE w:val="0"/>
        <w:autoSpaceDN w:val="0"/>
        <w:adjustRightInd w:val="0"/>
        <w:spacing w:beforeLines="0" w:afterLines="0" w:line="360" w:lineRule="auto"/>
        <w:jc w:val="center"/>
        <w:rPr>
          <w:rFonts w:hint="default" w:ascii="Times New Roman" w:hAnsi="Times New Roman" w:eastAsia="仿宋_GB2312"/>
          <w:kern w:val="0"/>
          <w:sz w:val="32"/>
        </w:rPr>
      </w:pPr>
    </w:p>
    <w:p>
      <w:pPr>
        <w:shd w:val="clear" w:color="auto" w:fill="FFFFFF"/>
        <w:autoSpaceDE w:val="0"/>
        <w:autoSpaceDN w:val="0"/>
        <w:adjustRightInd w:val="0"/>
        <w:spacing w:beforeLines="0" w:afterLines="0" w:line="360" w:lineRule="auto"/>
        <w:jc w:val="center"/>
        <w:rPr>
          <w:rFonts w:hint="eastAsia" w:eastAsia="黑体"/>
          <w:kern w:val="0"/>
          <w:sz w:val="32"/>
          <w:rtl/>
          <w:lang w:val="ar-SA"/>
        </w:rPr>
      </w:pPr>
      <w:r>
        <w:rPr>
          <w:rFonts w:hint="default" w:ascii="Times New Roman" w:hAnsi="Times New Roman" w:eastAsia="仿宋_GB2312"/>
          <w:kern w:val="0"/>
          <w:sz w:val="32"/>
        </w:rPr>
        <w:br w:type="page"/>
      </w:r>
      <w:r>
        <w:rPr>
          <w:rFonts w:hint="eastAsia" w:ascii="黑体" w:hAnsi="Times New Roman" w:eastAsia="黑体"/>
          <w:kern w:val="0"/>
          <w:sz w:val="32"/>
        </w:rPr>
        <w:t>第一部分 部门单位概况</w:t>
      </w:r>
    </w:p>
    <w:p>
      <w:pPr>
        <w:autoSpaceDE w:val="0"/>
        <w:autoSpaceDN w:val="0"/>
        <w:adjustRightInd w:val="0"/>
        <w:spacing w:beforeLines="0" w:afterLines="0" w:line="360" w:lineRule="auto"/>
        <w:ind w:firstLine="640"/>
        <w:rPr>
          <w:rFonts w:hint="eastAsia" w:ascii="黑体" w:hAnsi="Times New Roman" w:eastAsia="黑体"/>
          <w:color w:val="FF0000"/>
          <w:sz w:val="52"/>
          <w:lang w:val="zh-CN"/>
        </w:rPr>
      </w:pPr>
      <w:r>
        <w:rPr>
          <w:rFonts w:hint="eastAsia" w:ascii="黑体" w:hAnsi="Times New Roman" w:eastAsia="黑体"/>
          <w:sz w:val="32"/>
          <w:lang w:val="zh-CN"/>
        </w:rPr>
        <w:t>一、主要职能</w:t>
      </w:r>
    </w:p>
    <w:p>
      <w:pPr>
        <w:widowControl/>
        <w:spacing w:beforeLines="0" w:afterLines="0" w:line="360" w:lineRule="auto"/>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rPr>
        <w:t>1. 研究拟订全区统一战线工作的政策并推动落实，深入调查研究，及时向区委报告统一战线工作情况并提出建议，统筹协调和指导各片区（乡镇）、各部门（单位）统一战线工作。做好统战系统干部和统一战线成员的教育培训工作。</w:t>
      </w:r>
    </w:p>
    <w:p>
      <w:pPr>
        <w:widowControl/>
        <w:spacing w:beforeLines="0" w:afterLines="0" w:line="360" w:lineRule="auto"/>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rPr>
        <w:t>2. 负责发现、培养党外代表人士，负责党外人士的政治安排，协同有关部门做好安排党外人士担任政府和司法机关等领导职务的工作，协助各民主党派、区工商联做好干部管理工作，反映和协调解决党外代表人士工作生活中的实际困难。</w:t>
      </w:r>
    </w:p>
    <w:p>
      <w:pPr>
        <w:widowControl/>
        <w:spacing w:beforeLines="0" w:afterLines="0" w:line="360" w:lineRule="auto"/>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rPr>
        <w:t>3. 贯彻落实党的宣传工作方针，统筹推进统一战线宣传工作，拟订统一战线宣传工作政策和规划并组织实施。</w:t>
      </w:r>
    </w:p>
    <w:p>
      <w:pPr>
        <w:widowControl/>
        <w:spacing w:beforeLines="0" w:afterLines="0" w:line="360" w:lineRule="auto"/>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rPr>
        <w:t>4. 负责联系各民主党派，通报情况、反映意见，贯彻落实中国共产党领导的多党合作和政治协商制度以及对民主党派的方针政策，支持、帮助民主党派加强自身建设，做好支持民主党派履行职能、发挥作用的工作。</w:t>
      </w:r>
    </w:p>
    <w:p>
      <w:pPr>
        <w:widowControl/>
        <w:spacing w:beforeLines="0" w:afterLines="0" w:line="360" w:lineRule="auto"/>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rPr>
        <w:t>5. 贯彻落实党的民族工作方针，研究拟订民族工作政策措施并督促落实，协调处理民族工作中的重大问题，根据分工做好少数民族干部工作，领导区民族宗教事务局依法管理民族事务，加强“民族团结一家亲”和民族团结联谊活动的组织协调、调研指导和督导考核，促进各民族交往交流交融，全面推进民族事业发展。</w:t>
      </w:r>
    </w:p>
    <w:p>
      <w:pPr>
        <w:widowControl/>
        <w:spacing w:beforeLines="0" w:afterLines="0" w:line="360" w:lineRule="auto"/>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rPr>
        <w:t>6. 贯彻落实党的宗教工作基本方针政策，研究拟订宗教工作政策措施并督促落实，领导区民族宗教事务局依法管理宗教行政事务，保护公民宗教信仰自由和正常的宗教活动，维护宗教界合法权益，遏制宗教极端，抵御境外利用宗教进行渗透，引导各宗教坚持中国化方向，促进宗教与社会主义社会相适应，巩固和发展同宗教界的爱国统一战线。</w:t>
      </w:r>
    </w:p>
    <w:p>
      <w:pPr>
        <w:widowControl/>
        <w:spacing w:beforeLines="0" w:afterLines="0" w:line="360" w:lineRule="auto"/>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rPr>
        <w:t>7. 负责联系、培养无党派代表人士，支持、帮助无党派人士加强自身建设、发挥作用。调查研究党外知识分子和新的社会阶层代表人士情况并提出政策建议，联系、培养党外知识分子和新的社会阶层代表人士，开展思想政治工作，指导区属科研院所、国有企业等有关单位和社会组织开展党外知识分子和新的社会阶层代表人士统战工作。</w:t>
      </w:r>
    </w:p>
    <w:p>
      <w:pPr>
        <w:widowControl/>
        <w:spacing w:beforeLines="0" w:afterLines="0" w:line="360" w:lineRule="auto"/>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rPr>
        <w:t>8. 参与制订、推动落实鼓励支持引导非公有制经济发展的方针政策，调查研究非公有制经济人士情况并提出政策建议，了解和反映非公有制经济人士的意见，团结、服务、引导、教育非公有制经济人士，促进非公有制经济健康发展和非公有制经济人士健康成长。</w:t>
      </w:r>
    </w:p>
    <w:p>
      <w:pPr>
        <w:widowControl/>
        <w:spacing w:beforeLines="0" w:afterLines="0" w:line="360" w:lineRule="auto"/>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rPr>
        <w:t>9. 统一领导海外统战工作，牵头开展港澳统战工作，开展对台统战工作。拟订海外统战工作政策和规划并组织协调、督促检查落实，会同有关部门对香港、澳门地区统一战线工作进行调查研究并提出政策建议，联系香港、澳门、台湾有关党派、团体及代表人士，联系海外有关社团及代表人士，做好台胞、台属有关工作。</w:t>
      </w:r>
    </w:p>
    <w:p>
      <w:pPr>
        <w:widowControl/>
        <w:spacing w:beforeLines="0" w:afterLines="0" w:line="360" w:lineRule="auto"/>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rPr>
        <w:t>10. 统一管理侨务工作。贯彻落实党的侨务工作方针政策，负责拟订侨务工作政策和规划并组织协调、督促检查落实，调查研究国内外侨情和侨务工作情况，管理侨务行政事务，统筹协调有关部门和社会团体涉侨工作，联系海外有关侨团和代表人士，指导推动涉侨宣传、文化交流、华文教育工作等，保护华侨和归侨侨眷在国内的合法权利和利益。</w:t>
      </w:r>
    </w:p>
    <w:p>
      <w:pPr>
        <w:widowControl/>
        <w:spacing w:beforeLines="0" w:afterLines="0" w:line="360" w:lineRule="auto"/>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rPr>
        <w:t>11. 受区委委托，领导区工商联机关，指导工商联工作；领导区侨联机关，指导侨联工作。做好统一战线有关单位和团体的管理工作。</w:t>
      </w:r>
    </w:p>
    <w:p>
      <w:pPr>
        <w:widowControl/>
        <w:spacing w:beforeLines="0" w:afterLines="0" w:line="360" w:lineRule="auto"/>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rPr>
        <w:t>12. 归口领导区民族宗教事务局。</w:t>
      </w:r>
    </w:p>
    <w:p>
      <w:pPr>
        <w:widowControl/>
        <w:spacing w:beforeLines="0" w:afterLines="0" w:line="360" w:lineRule="auto"/>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rPr>
        <w:t>13. 承办区委交办的其他事项。</w:t>
      </w:r>
    </w:p>
    <w:p>
      <w:pPr>
        <w:widowControl/>
        <w:shd w:val="clear" w:color="auto" w:fill="FFFFFF"/>
        <w:spacing w:before="100" w:beforeLines="0" w:after="240" w:afterLines="0" w:line="360" w:lineRule="auto"/>
        <w:jc w:val="left"/>
        <w:rPr>
          <w:rFonts w:hint="default" w:eastAsia="Times New Roman"/>
          <w:kern w:val="0"/>
          <w:sz w:val="32"/>
        </w:rPr>
      </w:pPr>
    </w:p>
    <w:p>
      <w:pPr>
        <w:autoSpaceDE w:val="0"/>
        <w:autoSpaceDN w:val="0"/>
        <w:adjustRightInd w:val="0"/>
        <w:spacing w:beforeLines="0" w:afterLines="0" w:line="360" w:lineRule="auto"/>
        <w:ind w:firstLine="640"/>
        <w:rPr>
          <w:rFonts w:hint="eastAsia" w:ascii="黑体" w:hAnsi="Times New Roman" w:eastAsia="黑体"/>
          <w:sz w:val="32"/>
          <w:lang w:val="zh-CN"/>
        </w:rPr>
      </w:pPr>
    </w:p>
    <w:p>
      <w:pPr>
        <w:autoSpaceDE w:val="0"/>
        <w:autoSpaceDN w:val="0"/>
        <w:adjustRightInd w:val="0"/>
        <w:spacing w:beforeLines="0" w:afterLines="0" w:line="360" w:lineRule="auto"/>
        <w:ind w:firstLine="640"/>
        <w:rPr>
          <w:rFonts w:hint="eastAsia" w:ascii="黑体" w:hAnsi="Times New Roman" w:eastAsia="黑体"/>
          <w:sz w:val="32"/>
          <w:lang w:val="zh-CN"/>
        </w:rPr>
      </w:pPr>
    </w:p>
    <w:p>
      <w:pPr>
        <w:autoSpaceDE w:val="0"/>
        <w:autoSpaceDN w:val="0"/>
        <w:adjustRightInd w:val="0"/>
        <w:spacing w:beforeLines="0" w:afterLines="0" w:line="360" w:lineRule="auto"/>
        <w:ind w:firstLine="640"/>
        <w:rPr>
          <w:rFonts w:hint="eastAsia" w:ascii="黑体" w:hAnsi="Times New Roman" w:eastAsia="黑体"/>
          <w:sz w:val="32"/>
          <w:lang w:val="zh-CN"/>
        </w:rPr>
      </w:pPr>
    </w:p>
    <w:p>
      <w:pPr>
        <w:autoSpaceDE w:val="0"/>
        <w:autoSpaceDN w:val="0"/>
        <w:adjustRightInd w:val="0"/>
        <w:spacing w:beforeLines="0" w:afterLines="0" w:line="360" w:lineRule="auto"/>
        <w:ind w:firstLine="640"/>
        <w:rPr>
          <w:rFonts w:hint="eastAsia" w:ascii="黑体" w:hAnsi="Times New Roman" w:eastAsia="黑体"/>
          <w:sz w:val="32"/>
          <w:lang w:val="zh-CN"/>
        </w:rPr>
      </w:pPr>
    </w:p>
    <w:p>
      <w:pPr>
        <w:autoSpaceDE w:val="0"/>
        <w:autoSpaceDN w:val="0"/>
        <w:adjustRightInd w:val="0"/>
        <w:spacing w:beforeLines="0" w:afterLines="0" w:line="360" w:lineRule="auto"/>
        <w:ind w:firstLine="640"/>
        <w:rPr>
          <w:rFonts w:hint="default" w:ascii="Times New Roman" w:hAnsi="Times New Roman" w:eastAsia="黑体"/>
          <w:sz w:val="32"/>
          <w:lang w:val="zh-CN"/>
        </w:rPr>
      </w:pPr>
      <w:r>
        <w:rPr>
          <w:rFonts w:hint="eastAsia" w:ascii="黑体" w:hAnsi="Times New Roman" w:eastAsia="黑体"/>
          <w:sz w:val="32"/>
          <w:lang w:val="zh-CN"/>
        </w:rPr>
        <w:t>二、机构设置及人员情况</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rPr>
      </w:pPr>
      <w:r>
        <w:rPr>
          <w:rFonts w:hint="eastAsia" w:ascii="仿宋_GB2312" w:hAnsi="Times New Roman" w:eastAsia="仿宋_GB2312"/>
          <w:kern w:val="0"/>
          <w:sz w:val="32"/>
        </w:rPr>
        <w:t>乌鲁木齐高新技术产业开发区（乌鲁木齐市新市区）委员会统一战线工作部2021年度，实有人数9人，其中：在职人员9人，离休人员0人，退休人员0人。</w:t>
      </w:r>
    </w:p>
    <w:p>
      <w:pPr>
        <w:shd w:val="clear" w:color="auto" w:fill="FFFFFF"/>
        <w:autoSpaceDE w:val="0"/>
        <w:autoSpaceDN w:val="0"/>
        <w:adjustRightInd w:val="0"/>
        <w:spacing w:beforeLines="0" w:afterLines="0" w:line="360" w:lineRule="auto"/>
        <w:ind w:firstLine="640"/>
        <w:rPr>
          <w:rFonts w:hint="default" w:ascii="Times New Roman" w:eastAsia="Times New Roman"/>
          <w:kern w:val="0"/>
          <w:sz w:val="24"/>
          <w:rtl/>
          <w:lang w:val="zh-CN"/>
        </w:rPr>
      </w:pPr>
      <w:r>
        <w:rPr>
          <w:rFonts w:hint="eastAsia" w:ascii="仿宋_GB2312" w:hAnsi="Times New Roman" w:eastAsia="仿宋_GB2312"/>
          <w:kern w:val="0"/>
          <w:sz w:val="32"/>
        </w:rPr>
        <w:t>从部门决算单位构成看，乌鲁木齐高新技术产业开发区（乌鲁木齐市新市区）委员会统一战线工作部部门决算包括：乌鲁木齐高新技术产业开发区（乌鲁木齐市新市区）委员会统一战线工作部</w:t>
      </w:r>
      <w:r>
        <w:rPr>
          <w:rFonts w:hint="eastAsia" w:ascii="仿宋_GB2312" w:hAnsi="Times New Roman" w:eastAsia="仿宋_GB2312"/>
          <w:kern w:val="0"/>
          <w:sz w:val="32"/>
          <w:lang w:val="zh-CN"/>
        </w:rPr>
        <w:t>决算。单位无下属预算单位，下设</w:t>
      </w:r>
      <w:r>
        <w:rPr>
          <w:rFonts w:hint="eastAsia" w:ascii="仿宋_GB2312" w:hAnsi="Times New Roman" w:eastAsia="仿宋_GB2312"/>
          <w:kern w:val="0"/>
          <w:sz w:val="32"/>
        </w:rPr>
        <w:t>1</w:t>
      </w:r>
      <w:r>
        <w:rPr>
          <w:rFonts w:hint="eastAsia" w:ascii="仿宋_GB2312" w:hAnsi="Times New Roman" w:eastAsia="仿宋_GB2312"/>
          <w:kern w:val="0"/>
          <w:sz w:val="32"/>
          <w:lang w:val="zh-CN"/>
        </w:rPr>
        <w:t>个科室，分别是</w:t>
      </w:r>
      <w:r>
        <w:rPr>
          <w:rFonts w:hint="eastAsia" w:ascii="仿宋_GB2312" w:hAnsi="Times New Roman" w:eastAsia="仿宋_GB2312"/>
          <w:kern w:val="0"/>
          <w:sz w:val="32"/>
          <w:highlight w:val="white"/>
          <w:lang w:val="zh-CN"/>
        </w:rPr>
        <w:t>：</w:t>
      </w:r>
      <w:r>
        <w:rPr>
          <w:rFonts w:hint="eastAsia" w:ascii="仿宋_GB2312" w:hAnsi="Times New Roman" w:eastAsia="仿宋_GB2312"/>
          <w:kern w:val="0"/>
          <w:sz w:val="32"/>
        </w:rPr>
        <w:t>乌鲁木齐高新技术产业开发区（乌鲁木齐市新市区）统战事务服务中心</w:t>
      </w:r>
      <w:r>
        <w:rPr>
          <w:rFonts w:hint="eastAsia" w:ascii="仿宋_GB2312" w:hAnsi="Times New Roman" w:eastAsia="仿宋_GB2312"/>
          <w:kern w:val="0"/>
          <w:sz w:val="32"/>
          <w:highlight w:val="white"/>
          <w:lang w:val="zh-CN"/>
        </w:rPr>
        <w:t>。</w:t>
      </w:r>
    </w:p>
    <w:p>
      <w:pPr>
        <w:shd w:val="clear" w:color="auto" w:fill="FFFFFF"/>
        <w:autoSpaceDE w:val="0"/>
        <w:autoSpaceDN w:val="0"/>
        <w:adjustRightInd w:val="0"/>
        <w:spacing w:before="100" w:beforeLines="0" w:after="240" w:afterLines="0"/>
        <w:jc w:val="center"/>
        <w:rPr>
          <w:rFonts w:hint="eastAsia" w:ascii="黑体" w:hAnsi="Times New Roman" w:eastAsia="黑体"/>
          <w:kern w:val="0"/>
          <w:sz w:val="32"/>
        </w:rPr>
      </w:pPr>
      <w:r>
        <w:rPr>
          <w:rFonts w:hint="eastAsia" w:ascii="黑体" w:hAnsi="Times New Roman" w:eastAsia="黑体"/>
          <w:kern w:val="0"/>
          <w:sz w:val="32"/>
        </w:rPr>
        <w:t>第二部分 部门决算情况说明</w:t>
      </w:r>
    </w:p>
    <w:p>
      <w:pPr>
        <w:autoSpaceDE w:val="0"/>
        <w:autoSpaceDN w:val="0"/>
        <w:adjustRightInd w:val="0"/>
        <w:spacing w:beforeLines="0" w:afterLines="0" w:line="360" w:lineRule="auto"/>
        <w:ind w:firstLine="640"/>
        <w:rPr>
          <w:rFonts w:hint="default" w:ascii="Times New Roman" w:hAnsi="Times New Roman" w:eastAsia="黑体"/>
          <w:sz w:val="32"/>
          <w:lang w:val="zh-CN"/>
        </w:rPr>
      </w:pPr>
      <w:r>
        <w:rPr>
          <w:rFonts w:hint="eastAsia" w:ascii="黑体" w:hAnsi="Times New Roman" w:eastAsia="黑体"/>
          <w:sz w:val="32"/>
          <w:lang w:val="zh-CN"/>
        </w:rPr>
        <w:t>一、收入支出决算总体情况说明</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rPr>
      </w:pPr>
      <w:r>
        <w:rPr>
          <w:rFonts w:hint="eastAsia" w:ascii="仿宋_GB2312" w:hAnsi="Times New Roman" w:eastAsia="仿宋_GB2312"/>
          <w:kern w:val="0"/>
          <w:sz w:val="32"/>
        </w:rPr>
        <w:t>2021年度本年收入733.27万元，与上年相比，增加142.53万元，增加</w:t>
      </w:r>
      <w:r>
        <w:rPr>
          <w:rFonts w:hint="eastAsia" w:ascii="仿宋_GB2312" w:hAnsi="Times New Roman" w:eastAsia="仿宋_GB2312"/>
          <w:kern w:val="0"/>
          <w:sz w:val="32"/>
          <w:lang w:val="en-US" w:eastAsia="zh-CN"/>
        </w:rPr>
        <w:t>24.13</w:t>
      </w:r>
      <w:r>
        <w:rPr>
          <w:rFonts w:hint="eastAsia" w:ascii="仿宋_GB2312" w:hAnsi="Times New Roman" w:eastAsia="仿宋_GB2312"/>
          <w:kern w:val="0"/>
          <w:sz w:val="32"/>
        </w:rPr>
        <w:t>%，主要原因是：新成立了1个统战事务服务中心，新增加人员4人。本年支出773.16万元，与上年相比，增长181.67万元，增长30.71%，主要原因是：新成立了1个统战事务服务中心，新增加人员4人。</w:t>
      </w:r>
    </w:p>
    <w:p>
      <w:pPr>
        <w:autoSpaceDE w:val="0"/>
        <w:autoSpaceDN w:val="0"/>
        <w:adjustRightInd w:val="0"/>
        <w:spacing w:beforeLines="0" w:afterLines="0" w:line="360" w:lineRule="auto"/>
        <w:ind w:firstLine="640"/>
        <w:rPr>
          <w:rFonts w:hint="default" w:ascii="Times New Roman" w:hAnsi="Times New Roman" w:eastAsia="黑体"/>
          <w:sz w:val="32"/>
        </w:rPr>
      </w:pPr>
      <w:r>
        <w:rPr>
          <w:rFonts w:hint="eastAsia" w:ascii="黑体" w:hAnsi="Times New Roman" w:eastAsia="黑体"/>
          <w:sz w:val="32"/>
          <w:lang w:val="zh-CN"/>
        </w:rPr>
        <w:t>二、收入决算情况说明</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rPr>
      </w:pPr>
      <w:r>
        <w:rPr>
          <w:rFonts w:hint="eastAsia" w:ascii="仿宋_GB2312" w:hAnsi="Times New Roman" w:eastAsia="仿宋_GB2312"/>
          <w:kern w:val="0"/>
          <w:sz w:val="32"/>
        </w:rPr>
        <w:t>2021年度本年收入733.27万元，其中：财政拨款收入731.27万元，占99.73%；上级补助收入0.00万元，占0.00%；事业收入0.00万元，占0.00%；经营收入0.00万元，占0.00%；附属单位上缴收入0.00万元，占0.00%；其他收入2万元，占0.27%。</w:t>
      </w:r>
    </w:p>
    <w:p>
      <w:pPr>
        <w:autoSpaceDE w:val="0"/>
        <w:autoSpaceDN w:val="0"/>
        <w:adjustRightInd w:val="0"/>
        <w:spacing w:beforeLines="0" w:afterLines="0" w:line="360" w:lineRule="auto"/>
        <w:ind w:firstLine="640"/>
        <w:rPr>
          <w:rFonts w:hint="default" w:ascii="Times New Roman" w:hAnsi="Times New Roman" w:eastAsia="黑体"/>
          <w:sz w:val="32"/>
        </w:rPr>
      </w:pPr>
      <w:r>
        <w:rPr>
          <w:rFonts w:hint="eastAsia" w:ascii="黑体" w:hAnsi="Times New Roman" w:eastAsia="黑体"/>
          <w:sz w:val="32"/>
          <w:lang w:val="zh-CN"/>
        </w:rPr>
        <w:t>三、支出决算情况说明</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rPr>
      </w:pPr>
      <w:r>
        <w:rPr>
          <w:rFonts w:hint="eastAsia" w:ascii="仿宋_GB2312" w:hAnsi="Times New Roman" w:eastAsia="仿宋_GB2312"/>
          <w:kern w:val="0"/>
          <w:sz w:val="32"/>
        </w:rPr>
        <w:t>2021年度本年支出773.16万元，其中：基本支出204.74万元，占26.48%；项目支出568.42万元，占73.52%；上缴上级支出0.00万元，占0.00%；经营支出0.00万元，占0.00%；对附属单位补助支出0.00万元，占0.00%。</w:t>
      </w:r>
    </w:p>
    <w:p>
      <w:pPr>
        <w:autoSpaceDE w:val="0"/>
        <w:autoSpaceDN w:val="0"/>
        <w:adjustRightInd w:val="0"/>
        <w:spacing w:beforeLines="0" w:afterLines="0" w:line="360" w:lineRule="auto"/>
        <w:ind w:firstLine="640"/>
        <w:rPr>
          <w:rFonts w:hint="default" w:ascii="Times New Roman" w:hAnsi="Times New Roman" w:eastAsia="黑体"/>
          <w:sz w:val="32"/>
          <w:lang w:val="zh-CN"/>
        </w:rPr>
      </w:pPr>
      <w:r>
        <w:rPr>
          <w:rFonts w:hint="eastAsia" w:ascii="黑体" w:hAnsi="Times New Roman" w:eastAsia="黑体"/>
          <w:sz w:val="32"/>
          <w:lang w:val="zh-CN"/>
        </w:rPr>
        <w:t>四、财政拨款收入支出决算总体情况说明</w:t>
      </w:r>
    </w:p>
    <w:p>
      <w:pPr>
        <w:shd w:val="clear" w:color="auto" w:fill="FFFFFF"/>
        <w:autoSpaceDE w:val="0"/>
        <w:autoSpaceDN w:val="0"/>
        <w:adjustRightInd w:val="0"/>
        <w:spacing w:beforeLines="0" w:afterLines="0" w:line="360" w:lineRule="auto"/>
        <w:ind w:firstLine="640"/>
        <w:rPr>
          <w:rFonts w:hint="eastAsia" w:ascii="仿宋_GB2312" w:hAnsi="Times New Roman" w:eastAsia="仿宋_GB2312"/>
          <w:kern w:val="0"/>
          <w:sz w:val="32"/>
        </w:rPr>
      </w:pPr>
      <w:r>
        <w:rPr>
          <w:rFonts w:hint="eastAsia" w:ascii="仿宋_GB2312" w:hAnsi="Times New Roman" w:eastAsia="仿宋_GB2312"/>
          <w:kern w:val="0"/>
          <w:sz w:val="32"/>
        </w:rPr>
        <w:t>2021年度财政拨款收入731.27万元，与上年相比，增加101.03万元，增长16.03%，主要原因是：新成立了1个统战事务服务中心，新增加人员4人，财政拨款收入增加。财政拨款支出773.16万元，与上年相比，增加181.67万元，增长30.71%，主要原因是：新成立了1个统战事务服务中心，新增加人员4人，财政支出增加。</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rPr>
      </w:pPr>
      <w:r>
        <w:rPr>
          <w:rFonts w:hint="eastAsia" w:ascii="仿宋_GB2312" w:hAnsi="Times New Roman" w:eastAsia="仿宋_GB2312"/>
          <w:kern w:val="0"/>
          <w:sz w:val="32"/>
        </w:rPr>
        <w:t>与年初预算数相比情况：财政拨款收入年初预算数575.89万元，决算数731.27万元，预决算差异率26.98%，主要原因是：新成立了1个统战事务服务中心，新增加人员4人，财政拨款收入增加。财政拨款支出年初预算数575.89万元，决算数773.16万元，预决算差异率34.25%，主要原因是：新成立了1个统战事务服务中心，新增加人员4人财政支出增加。</w:t>
      </w:r>
    </w:p>
    <w:p>
      <w:pPr>
        <w:autoSpaceDE w:val="0"/>
        <w:autoSpaceDN w:val="0"/>
        <w:adjustRightInd w:val="0"/>
        <w:spacing w:beforeLines="0" w:afterLines="0" w:line="360" w:lineRule="auto"/>
        <w:ind w:firstLine="640"/>
        <w:rPr>
          <w:rFonts w:hint="default" w:ascii="Times New Roman" w:hAnsi="Times New Roman" w:eastAsia="黑体"/>
          <w:sz w:val="32"/>
          <w:lang w:val="zh-CN"/>
        </w:rPr>
      </w:pPr>
      <w:r>
        <w:rPr>
          <w:rFonts w:hint="eastAsia" w:ascii="黑体" w:hAnsi="Times New Roman" w:eastAsia="黑体"/>
          <w:sz w:val="32"/>
          <w:lang w:val="zh-CN"/>
        </w:rPr>
        <w:t>五、一般公共预算财政拨款支出决算情况说明</w:t>
      </w:r>
    </w:p>
    <w:p>
      <w:pPr>
        <w:autoSpaceDE w:val="0"/>
        <w:autoSpaceDN w:val="0"/>
        <w:adjustRightInd w:val="0"/>
        <w:spacing w:beforeLines="0" w:afterLines="0" w:line="360" w:lineRule="auto"/>
        <w:ind w:firstLine="640"/>
        <w:rPr>
          <w:rFonts w:hint="default" w:ascii="Times New Roman" w:hAnsi="Times New Roman" w:eastAsia="仿宋_GB2312"/>
          <w:kern w:val="0"/>
          <w:sz w:val="32"/>
        </w:rPr>
      </w:pPr>
      <w:r>
        <w:rPr>
          <w:rFonts w:hint="eastAsia" w:ascii="仿宋_GB2312" w:hAnsi="Times New Roman" w:eastAsia="仿宋_GB2312"/>
          <w:kern w:val="0"/>
          <w:sz w:val="32"/>
        </w:rPr>
        <w:t>2021年度一般公共预算财政拨款支出770.61万元。按功能分类科目项级科目公开，其中：</w:t>
      </w:r>
    </w:p>
    <w:p>
      <w:pPr>
        <w:widowControl/>
        <w:shd w:val="clear" w:color="auto" w:fill="FFFFFF"/>
        <w:spacing w:before="100" w:beforeLines="0" w:after="240" w:afterLines="0" w:line="360" w:lineRule="auto"/>
        <w:jc w:val="left"/>
        <w:rPr>
          <w:rFonts w:hint="eastAsia" w:ascii="仿宋_GB2312" w:hAnsi="仿宋_GB2312" w:eastAsia="仿宋_GB2312"/>
          <w:color w:val="auto"/>
          <w:kern w:val="0"/>
          <w:sz w:val="32"/>
        </w:rPr>
      </w:pPr>
      <w:r>
        <w:rPr>
          <w:rFonts w:hint="eastAsia" w:ascii="仿宋_GB2312" w:hAnsi="仿宋_GB2312" w:eastAsia="仿宋_GB2312"/>
          <w:color w:val="auto"/>
          <w:kern w:val="0"/>
          <w:sz w:val="32"/>
        </w:rPr>
        <w:t>2013401行政运行184.51万元。</w:t>
      </w:r>
    </w:p>
    <w:p>
      <w:pPr>
        <w:widowControl/>
        <w:shd w:val="clear" w:color="auto" w:fill="FFFFFF"/>
        <w:spacing w:before="100" w:beforeLines="0" w:after="240" w:afterLines="0" w:line="360" w:lineRule="auto"/>
        <w:jc w:val="left"/>
        <w:rPr>
          <w:rFonts w:hint="eastAsia" w:ascii="仿宋_GB2312" w:hAnsi="仿宋_GB2312" w:eastAsia="仿宋_GB2312"/>
          <w:color w:val="auto"/>
          <w:kern w:val="0"/>
          <w:sz w:val="32"/>
        </w:rPr>
      </w:pPr>
      <w:r>
        <w:rPr>
          <w:rFonts w:hint="eastAsia" w:ascii="仿宋_GB2312" w:hAnsi="仿宋_GB2312" w:eastAsia="仿宋_GB2312"/>
          <w:color w:val="auto"/>
          <w:kern w:val="0"/>
          <w:sz w:val="32"/>
        </w:rPr>
        <w:t>2013402一般行政管理事务31.66万元。</w:t>
      </w:r>
    </w:p>
    <w:p>
      <w:pPr>
        <w:widowControl/>
        <w:shd w:val="clear" w:color="auto" w:fill="FFFFFF"/>
        <w:spacing w:before="100" w:beforeLines="0" w:after="240" w:afterLines="0" w:line="360" w:lineRule="auto"/>
        <w:jc w:val="left"/>
        <w:rPr>
          <w:rFonts w:hint="eastAsia" w:ascii="仿宋_GB2312" w:hAnsi="仿宋_GB2312" w:eastAsia="仿宋_GB2312"/>
          <w:color w:val="auto"/>
          <w:kern w:val="0"/>
          <w:sz w:val="32"/>
        </w:rPr>
      </w:pPr>
      <w:r>
        <w:rPr>
          <w:rFonts w:hint="eastAsia" w:ascii="仿宋_GB2312" w:hAnsi="仿宋_GB2312" w:eastAsia="仿宋_GB2312"/>
          <w:color w:val="auto"/>
          <w:kern w:val="0"/>
          <w:sz w:val="32"/>
        </w:rPr>
        <w:t>2013499其他统战事务支出534.21万元。</w:t>
      </w:r>
    </w:p>
    <w:p>
      <w:pPr>
        <w:widowControl/>
        <w:shd w:val="clear" w:color="auto" w:fill="FFFFFF"/>
        <w:spacing w:before="100" w:beforeLines="0" w:after="240" w:afterLines="0" w:line="360" w:lineRule="auto"/>
        <w:jc w:val="left"/>
        <w:rPr>
          <w:rFonts w:hint="eastAsia" w:ascii="仿宋_GB2312" w:hAnsi="仿宋_GB2312" w:eastAsia="仿宋_GB2312"/>
          <w:color w:val="auto"/>
          <w:kern w:val="0"/>
          <w:sz w:val="32"/>
        </w:rPr>
      </w:pPr>
      <w:r>
        <w:rPr>
          <w:rFonts w:hint="eastAsia" w:ascii="仿宋_GB2312" w:hAnsi="仿宋_GB2312" w:eastAsia="仿宋_GB2312"/>
          <w:color w:val="auto"/>
          <w:kern w:val="0"/>
          <w:sz w:val="32"/>
        </w:rPr>
        <w:t>2049999其他公共安全支出10.41万元。</w:t>
      </w:r>
    </w:p>
    <w:p>
      <w:pPr>
        <w:widowControl/>
        <w:shd w:val="clear" w:color="auto" w:fill="FFFFFF"/>
        <w:spacing w:before="100" w:beforeLines="0" w:after="240" w:afterLines="0" w:line="360" w:lineRule="auto"/>
        <w:jc w:val="left"/>
        <w:rPr>
          <w:rFonts w:hint="eastAsia" w:ascii="仿宋_GB2312" w:hAnsi="仿宋_GB2312" w:eastAsia="仿宋_GB2312"/>
          <w:color w:val="auto"/>
          <w:kern w:val="0"/>
          <w:sz w:val="32"/>
        </w:rPr>
      </w:pPr>
      <w:r>
        <w:rPr>
          <w:rFonts w:hint="eastAsia" w:ascii="仿宋_GB2312" w:hAnsi="仿宋_GB2312" w:eastAsia="仿宋_GB2312"/>
          <w:color w:val="auto"/>
          <w:kern w:val="0"/>
          <w:sz w:val="32"/>
        </w:rPr>
        <w:t>2080505机关事业单位基本养老保险缴费支出9.82万元。</w:t>
      </w:r>
    </w:p>
    <w:p>
      <w:pPr>
        <w:autoSpaceDE w:val="0"/>
        <w:autoSpaceDN w:val="0"/>
        <w:adjustRightInd w:val="0"/>
        <w:spacing w:beforeLines="0" w:afterLines="0" w:line="360" w:lineRule="auto"/>
        <w:ind w:firstLine="640"/>
        <w:rPr>
          <w:rFonts w:hint="default" w:ascii="Times New Roman" w:hAnsi="Times New Roman" w:eastAsia="黑体"/>
          <w:sz w:val="32"/>
          <w:lang w:val="zh-CN"/>
        </w:rPr>
      </w:pPr>
      <w:r>
        <w:rPr>
          <w:rFonts w:hint="eastAsia" w:ascii="黑体" w:hAnsi="Times New Roman" w:eastAsia="黑体"/>
          <w:sz w:val="32"/>
          <w:lang w:val="zh-CN"/>
        </w:rPr>
        <w:t>六、一般公共预算财政拨款基本支出决算情况说明</w:t>
      </w:r>
    </w:p>
    <w:p>
      <w:pPr>
        <w:shd w:val="clear" w:color="auto" w:fill="FFFFFF"/>
        <w:autoSpaceDE w:val="0"/>
        <w:autoSpaceDN w:val="0"/>
        <w:adjustRightInd w:val="0"/>
        <w:spacing w:beforeLines="0" w:afterLines="0" w:line="360" w:lineRule="auto"/>
        <w:ind w:firstLine="640"/>
        <w:rPr>
          <w:rFonts w:hint="eastAsia" w:ascii="仿宋_GB2312" w:hAnsi="Times New Roman" w:eastAsia="仿宋_GB2312"/>
          <w:kern w:val="0"/>
          <w:sz w:val="32"/>
        </w:rPr>
      </w:pPr>
      <w:r>
        <w:rPr>
          <w:rFonts w:hint="eastAsia" w:ascii="仿宋_GB2312" w:hAnsi="Times New Roman" w:eastAsia="仿宋_GB2312"/>
          <w:kern w:val="0"/>
          <w:sz w:val="32"/>
        </w:rPr>
        <w:t>2021年度一般公共预算财政拨款基本支出204.74万元，其中：</w:t>
      </w:r>
    </w:p>
    <w:p>
      <w:pPr>
        <w:shd w:val="clear" w:color="auto" w:fill="FFFFFF"/>
        <w:autoSpaceDE w:val="0"/>
        <w:autoSpaceDN w:val="0"/>
        <w:adjustRightInd w:val="0"/>
        <w:spacing w:beforeLines="0" w:afterLines="0" w:line="360" w:lineRule="auto"/>
        <w:ind w:firstLine="640"/>
        <w:rPr>
          <w:rFonts w:hint="eastAsia" w:ascii="仿宋_GB2312" w:hAnsi="Times New Roman" w:eastAsia="仿宋_GB2312"/>
          <w:kern w:val="0"/>
          <w:sz w:val="32"/>
        </w:rPr>
      </w:pPr>
      <w:r>
        <w:rPr>
          <w:rFonts w:hint="eastAsia" w:ascii="仿宋_GB2312" w:hAnsi="Times New Roman" w:eastAsia="仿宋_GB2312"/>
          <w:kern w:val="0"/>
          <w:sz w:val="32"/>
        </w:rPr>
        <w:t>人员经费199.4</w:t>
      </w:r>
      <w:r>
        <w:rPr>
          <w:rFonts w:hint="eastAsia" w:ascii="仿宋_GB2312" w:hAnsi="Times New Roman" w:eastAsia="仿宋_GB2312"/>
          <w:kern w:val="0"/>
          <w:sz w:val="32"/>
          <w:lang w:val="en-US" w:eastAsia="zh-CN"/>
        </w:rPr>
        <w:t>7</w:t>
      </w:r>
      <w:r>
        <w:rPr>
          <w:rFonts w:hint="eastAsia" w:ascii="仿宋_GB2312" w:hAnsi="Times New Roman" w:eastAsia="仿宋_GB2312"/>
          <w:kern w:val="0"/>
          <w:sz w:val="32"/>
        </w:rPr>
        <w:t>万元，包括：基本工资、津贴补贴、奖金、绩效工资、机关事业单位基本养老保险缴费、职工基本医疗保险缴费、公务员医疗补助缴费、其他社会保障缴费、住房公积金、其他工资福利支出、奖励金。</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rPr>
      </w:pPr>
      <w:r>
        <w:rPr>
          <w:rFonts w:hint="eastAsia" w:ascii="仿宋_GB2312" w:hAnsi="Times New Roman" w:eastAsia="仿宋_GB2312"/>
          <w:kern w:val="0"/>
          <w:sz w:val="32"/>
        </w:rPr>
        <w:t>公用经费5.27万元，包括：办公费、印刷费、邮电费、差旅费、维修（护）费、培训费、专用材料费、工会经费、福利费、其他商品和服务支出。</w:t>
      </w:r>
    </w:p>
    <w:p>
      <w:pPr>
        <w:numPr>
          <w:ilvl w:val="0"/>
          <w:numId w:val="1"/>
        </w:numPr>
        <w:autoSpaceDE w:val="0"/>
        <w:autoSpaceDN w:val="0"/>
        <w:adjustRightInd w:val="0"/>
        <w:spacing w:beforeLines="0" w:afterLines="0" w:line="360" w:lineRule="auto"/>
        <w:ind w:firstLine="640"/>
        <w:rPr>
          <w:rFonts w:hint="eastAsia" w:ascii="黑体" w:hAnsi="Times New Roman" w:eastAsia="黑体"/>
          <w:sz w:val="32"/>
          <w:lang w:val="zh-CN"/>
        </w:rPr>
      </w:pPr>
      <w:r>
        <w:rPr>
          <w:rFonts w:hint="eastAsia" w:ascii="黑体" w:hAnsi="Times New Roman" w:eastAsia="黑体"/>
          <w:sz w:val="32"/>
          <w:lang w:val="zh-CN"/>
        </w:rPr>
        <w:t>一般公共预算财政拨款</w:t>
      </w:r>
      <w:r>
        <w:rPr>
          <w:rFonts w:hint="default" w:ascii="Times New Roman" w:hAnsi="Times New Roman" w:eastAsia="黑体"/>
          <w:kern w:val="0"/>
          <w:sz w:val="32"/>
        </w:rPr>
        <w:t>“</w:t>
      </w:r>
      <w:r>
        <w:rPr>
          <w:rFonts w:hint="eastAsia" w:ascii="黑体" w:hAnsi="Times New Roman" w:eastAsia="黑体"/>
          <w:kern w:val="0"/>
          <w:sz w:val="32"/>
        </w:rPr>
        <w:t>三公</w:t>
      </w:r>
      <w:r>
        <w:rPr>
          <w:rFonts w:hint="default" w:ascii="Times New Roman" w:hAnsi="Times New Roman" w:eastAsia="黑体"/>
          <w:kern w:val="0"/>
          <w:sz w:val="32"/>
        </w:rPr>
        <w:t>”</w:t>
      </w:r>
      <w:r>
        <w:rPr>
          <w:rFonts w:hint="eastAsia" w:ascii="黑体" w:hAnsi="Times New Roman" w:eastAsia="黑体"/>
          <w:sz w:val="32"/>
          <w:lang w:val="zh-CN"/>
        </w:rPr>
        <w:t>经费支出决算情况说明</w:t>
      </w:r>
    </w:p>
    <w:p>
      <w:pPr>
        <w:autoSpaceDE w:val="0"/>
        <w:autoSpaceDN w:val="0"/>
        <w:adjustRightInd w:val="0"/>
        <w:spacing w:beforeLines="0" w:afterLines="0" w:line="360" w:lineRule="auto"/>
        <w:ind w:firstLine="640"/>
        <w:rPr>
          <w:rFonts w:hint="eastAsia" w:ascii="仿宋_GB2312" w:hAnsi="Times New Roman" w:eastAsia="仿宋_GB2312"/>
          <w:kern w:val="0"/>
          <w:sz w:val="32"/>
        </w:rPr>
      </w:pPr>
      <w:r>
        <w:rPr>
          <w:rFonts w:hint="eastAsia" w:ascii="仿宋_GB2312" w:hAnsi="Times New Roman" w:eastAsia="仿宋_GB2312"/>
          <w:kern w:val="0"/>
          <w:sz w:val="32"/>
        </w:rPr>
        <w:t>2021年度一般公共预算</w:t>
      </w:r>
      <w:r>
        <w:rPr>
          <w:rFonts w:hint="default" w:ascii="Times New Roman" w:hAnsi="Times New Roman" w:eastAsia="仿宋_GB2312"/>
          <w:kern w:val="0"/>
          <w:sz w:val="32"/>
        </w:rPr>
        <w:t>“</w:t>
      </w:r>
      <w:r>
        <w:rPr>
          <w:rFonts w:hint="eastAsia" w:ascii="仿宋_GB2312" w:hAnsi="Times New Roman" w:eastAsia="仿宋_GB2312"/>
          <w:kern w:val="0"/>
          <w:sz w:val="32"/>
        </w:rPr>
        <w:t>三公</w:t>
      </w:r>
      <w:r>
        <w:rPr>
          <w:rFonts w:hint="default" w:ascii="Times New Roman" w:hAnsi="Times New Roman" w:eastAsia="仿宋_GB2312"/>
          <w:kern w:val="0"/>
          <w:sz w:val="32"/>
        </w:rPr>
        <w:t>”</w:t>
      </w:r>
      <w:r>
        <w:rPr>
          <w:rFonts w:hint="eastAsia" w:ascii="仿宋_GB2312" w:hAnsi="Times New Roman" w:eastAsia="仿宋_GB2312"/>
          <w:kern w:val="0"/>
          <w:sz w:val="32"/>
        </w:rPr>
        <w:t>经费支出决算0万元，比上年增加0万元，增长0%。主要原因是：车辆由机关服务中心统一管理。其中：因公出国（境）费支出0.00万元，占0.00%，比上年增加0.00万元，增长0.00%，主要原因是：本年单位无因公出国（境）费支出；公务用车购置及运行维护费支出0万元，占0%，比上年增加0万元，增长0%，主要原因是：车辆由机关服务中心统一管理；公务接待费支出0.00万元，占0.00%，比上年增加0.00万元，增长0.00%，主要原因是：</w:t>
      </w:r>
      <w:r>
        <w:rPr>
          <w:rFonts w:hint="eastAsia" w:ascii="仿宋_GB2312" w:hAnsi="仿宋_GB2312" w:eastAsia="仿宋_GB2312"/>
          <w:kern w:val="0"/>
          <w:sz w:val="32"/>
        </w:rPr>
        <w:t>本年无此项支出</w:t>
      </w:r>
      <w:r>
        <w:rPr>
          <w:rFonts w:hint="eastAsia" w:ascii="仿宋_GB2312" w:hAnsi="Times New Roman" w:eastAsia="仿宋_GB2312"/>
          <w:kern w:val="0"/>
          <w:sz w:val="32"/>
        </w:rPr>
        <w:t>。具体情况如下：</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rPr>
      </w:pPr>
      <w:r>
        <w:rPr>
          <w:rFonts w:hint="eastAsia" w:ascii="仿宋_GB2312" w:hAnsi="Times New Roman" w:eastAsia="仿宋_GB2312"/>
          <w:kern w:val="0"/>
          <w:sz w:val="32"/>
        </w:rPr>
        <w:t>因公出国（境）费支出0.00万元，开支内容包括本年单位无因公出国（境）费支出。单位全年安排的因公出国（境）团组0个，因公出国（境）0人次。</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rPr>
      </w:pPr>
      <w:r>
        <w:rPr>
          <w:rFonts w:hint="eastAsia" w:ascii="仿宋_GB2312" w:hAnsi="Times New Roman" w:eastAsia="仿宋_GB2312"/>
          <w:kern w:val="0"/>
          <w:sz w:val="32"/>
        </w:rPr>
        <w:t>公务用车购置及运行维护费0万元，其中：公务用车购置费0.00万元，公务用车运行维护费0万元。公务用车运行维护费开支内容包括</w:t>
      </w:r>
      <w:r>
        <w:rPr>
          <w:rFonts w:hint="eastAsia" w:ascii="仿宋_GB2312" w:hAnsi="仿宋_GB2312" w:eastAsia="仿宋_GB2312"/>
          <w:kern w:val="0"/>
          <w:sz w:val="32"/>
        </w:rPr>
        <w:t>本年无此项支出</w:t>
      </w:r>
      <w:r>
        <w:rPr>
          <w:rFonts w:hint="eastAsia" w:ascii="仿宋_GB2312" w:hAnsi="Times New Roman" w:eastAsia="仿宋_GB2312"/>
          <w:kern w:val="0"/>
          <w:sz w:val="32"/>
        </w:rPr>
        <w:t>。公务用车购置数0辆，公务用车保有量0辆。</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rPr>
      </w:pPr>
      <w:r>
        <w:rPr>
          <w:rFonts w:hint="eastAsia" w:ascii="仿宋_GB2312" w:hAnsi="Times New Roman" w:eastAsia="仿宋_GB2312"/>
          <w:kern w:val="0"/>
          <w:sz w:val="32"/>
        </w:rPr>
        <w:t>公务接待费0.00万元，开支内容包括</w:t>
      </w:r>
      <w:r>
        <w:rPr>
          <w:rFonts w:hint="eastAsia" w:ascii="仿宋_GB2312" w:hAnsi="仿宋_GB2312" w:eastAsia="仿宋_GB2312"/>
          <w:kern w:val="0"/>
          <w:sz w:val="32"/>
        </w:rPr>
        <w:t>本年无此项支出</w:t>
      </w:r>
      <w:r>
        <w:rPr>
          <w:rFonts w:hint="eastAsia" w:ascii="仿宋_GB2312" w:hAnsi="Times New Roman" w:eastAsia="仿宋_GB2312"/>
          <w:kern w:val="0"/>
          <w:sz w:val="32"/>
        </w:rPr>
        <w:t>。单位全年安排的国内公务接待0批次，0人次。</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rPr>
      </w:pPr>
      <w:r>
        <w:rPr>
          <w:rFonts w:hint="eastAsia" w:ascii="仿宋_GB2312" w:hAnsi="Times New Roman" w:eastAsia="仿宋_GB2312"/>
          <w:kern w:val="0"/>
          <w:sz w:val="32"/>
        </w:rPr>
        <w:t>与年初预算</w:t>
      </w:r>
      <w:r>
        <w:rPr>
          <w:rFonts w:hint="eastAsia" w:ascii="仿宋_GB2312" w:hAnsi="Times New Roman" w:eastAsia="仿宋_GB2312"/>
          <w:kern w:val="0"/>
          <w:sz w:val="32"/>
          <w:lang w:val="zh-CN"/>
        </w:rPr>
        <w:t>数</w:t>
      </w:r>
      <w:r>
        <w:rPr>
          <w:rFonts w:hint="eastAsia" w:ascii="仿宋_GB2312" w:hAnsi="Times New Roman" w:eastAsia="仿宋_GB2312"/>
          <w:kern w:val="0"/>
          <w:sz w:val="32"/>
        </w:rPr>
        <w:t>相比情况:一般公共预算</w:t>
      </w:r>
      <w:r>
        <w:rPr>
          <w:rFonts w:hint="default" w:ascii="Times New Roman" w:hAnsi="Times New Roman" w:eastAsia="仿宋_GB2312"/>
          <w:kern w:val="0"/>
          <w:sz w:val="32"/>
        </w:rPr>
        <w:t>“</w:t>
      </w:r>
      <w:r>
        <w:rPr>
          <w:rFonts w:hint="eastAsia" w:ascii="仿宋_GB2312" w:hAnsi="Times New Roman" w:eastAsia="仿宋_GB2312"/>
          <w:kern w:val="0"/>
          <w:sz w:val="32"/>
        </w:rPr>
        <w:t>三公</w:t>
      </w:r>
      <w:r>
        <w:rPr>
          <w:rFonts w:hint="default" w:ascii="Times New Roman" w:hAnsi="Times New Roman" w:eastAsia="仿宋_GB2312"/>
          <w:kern w:val="0"/>
          <w:sz w:val="32"/>
        </w:rPr>
        <w:t>”</w:t>
      </w:r>
      <w:r>
        <w:rPr>
          <w:rFonts w:hint="eastAsia" w:ascii="仿宋_GB2312" w:hAnsi="Times New Roman" w:eastAsia="仿宋_GB2312"/>
          <w:kern w:val="0"/>
          <w:sz w:val="32"/>
        </w:rPr>
        <w:t>经费支出年初预算数0万元，决算数0万元，预决算差异率0%，主要原因是：车辆由机关服务中心统一管理。其中：因公出国（境）费预算数0.00万元，决算数0.00万元，预决算差异率0.00%，主要原因是：本年单位无因公出国（境）费支出；公务用车购置费预算数0.00万元，决算数0.00万元，预决算差异率0.00%，主要原因是：</w:t>
      </w:r>
      <w:r>
        <w:rPr>
          <w:rFonts w:hint="eastAsia" w:ascii="仿宋_GB2312" w:hAnsi="仿宋_GB2312" w:eastAsia="仿宋_GB2312"/>
          <w:kern w:val="0"/>
          <w:sz w:val="32"/>
        </w:rPr>
        <w:t>本年未安排“公务用车购置”经费预算</w:t>
      </w:r>
      <w:r>
        <w:rPr>
          <w:rFonts w:hint="eastAsia" w:ascii="仿宋_GB2312" w:hAnsi="Times New Roman" w:eastAsia="仿宋_GB2312"/>
          <w:kern w:val="0"/>
          <w:sz w:val="32"/>
        </w:rPr>
        <w:t>；公务用车运行费预算数0万元，决算数0万元，预决算差异率0%，主要原因是：车辆由机关服务中心统一管理；公务接待费预算数0.00万元，决算数0.00万元，预决算差异率0.00%，主要原因是：</w:t>
      </w:r>
      <w:r>
        <w:rPr>
          <w:rFonts w:hint="eastAsia" w:ascii="仿宋_GB2312" w:hAnsi="仿宋_GB2312" w:eastAsia="仿宋_GB2312"/>
          <w:kern w:val="0"/>
          <w:sz w:val="32"/>
        </w:rPr>
        <w:t>本年未安排“公务接待”经费预算</w:t>
      </w:r>
      <w:r>
        <w:rPr>
          <w:rFonts w:hint="eastAsia" w:ascii="仿宋_GB2312" w:hAnsi="Times New Roman" w:eastAsia="仿宋_GB2312"/>
          <w:kern w:val="0"/>
          <w:sz w:val="32"/>
        </w:rPr>
        <w:t>。</w:t>
      </w:r>
    </w:p>
    <w:p>
      <w:pPr>
        <w:autoSpaceDE w:val="0"/>
        <w:autoSpaceDN w:val="0"/>
        <w:adjustRightInd w:val="0"/>
        <w:spacing w:beforeLines="0" w:afterLines="0" w:line="360" w:lineRule="auto"/>
        <w:ind w:firstLine="640"/>
        <w:rPr>
          <w:rFonts w:hint="eastAsia" w:ascii="黑体" w:hAnsi="Times New Roman" w:eastAsia="黑体"/>
          <w:sz w:val="32"/>
          <w:lang w:val="zh-CN"/>
        </w:rPr>
      </w:pPr>
      <w:r>
        <w:rPr>
          <w:rFonts w:hint="eastAsia" w:ascii="黑体" w:hAnsi="Times New Roman" w:eastAsia="黑体"/>
          <w:sz w:val="32"/>
          <w:lang w:val="zh-CN"/>
        </w:rPr>
        <w:t>八、政府性基金预算财政拨款收入支出决算情况说明</w:t>
      </w:r>
    </w:p>
    <w:p>
      <w:pPr>
        <w:autoSpaceDE w:val="0"/>
        <w:autoSpaceDN w:val="0"/>
        <w:adjustRightInd w:val="0"/>
        <w:spacing w:beforeLines="0" w:afterLines="0" w:line="360" w:lineRule="auto"/>
        <w:ind w:firstLine="640"/>
        <w:rPr>
          <w:rFonts w:hint="default" w:ascii="Times New Roman" w:hAnsi="Times New Roman" w:eastAsia="黑体"/>
          <w:color w:val="FF0000"/>
          <w:sz w:val="40"/>
          <w:lang w:val="zh-CN"/>
        </w:rPr>
      </w:pPr>
      <w:r>
        <w:rPr>
          <w:rFonts w:hint="eastAsia" w:ascii="仿宋_GB2312" w:hAnsi="仿宋_GB2312" w:eastAsia="仿宋_GB2312"/>
          <w:color w:val="auto"/>
          <w:kern w:val="0"/>
          <w:sz w:val="32"/>
        </w:rPr>
        <w:t>我单位本年度无政府性基金预算财政拨款收入支出，政府性基金预算财政拨款收入支出决算表为空表。</w:t>
      </w:r>
    </w:p>
    <w:p>
      <w:pPr>
        <w:autoSpaceDE w:val="0"/>
        <w:autoSpaceDN w:val="0"/>
        <w:adjustRightInd w:val="0"/>
        <w:spacing w:beforeLines="0" w:afterLines="0" w:line="360" w:lineRule="auto"/>
        <w:ind w:firstLine="640"/>
        <w:rPr>
          <w:rFonts w:hint="default" w:ascii="Times New Roman" w:hAnsi="Times New Roman" w:eastAsia="黑体"/>
          <w:sz w:val="32"/>
          <w:lang w:val="zh-CN"/>
        </w:rPr>
      </w:pPr>
      <w:r>
        <w:rPr>
          <w:rFonts w:hint="eastAsia" w:ascii="黑体" w:hAnsi="Times New Roman" w:eastAsia="黑体"/>
          <w:sz w:val="32"/>
          <w:lang w:val="zh-CN"/>
        </w:rPr>
        <w:t>九、国有资本经营预算财政拨款收入支出决算情况说明</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rPr>
      </w:pPr>
      <w:r>
        <w:rPr>
          <w:rFonts w:hint="eastAsia" w:ascii="仿宋_GB2312" w:hAnsi="Times New Roman" w:eastAsia="仿宋_GB2312"/>
          <w:kern w:val="0"/>
          <w:sz w:val="32"/>
        </w:rPr>
        <w:t>我单位本年度无国有资本经营预算财政拨款收入支出，国有资本经营预算财政拨款收入支出决算表为空表。</w:t>
      </w:r>
    </w:p>
    <w:p>
      <w:pPr>
        <w:autoSpaceDE w:val="0"/>
        <w:autoSpaceDN w:val="0"/>
        <w:adjustRightInd w:val="0"/>
        <w:spacing w:beforeLines="0" w:afterLines="0" w:line="360" w:lineRule="auto"/>
        <w:ind w:firstLine="640"/>
        <w:rPr>
          <w:rFonts w:hint="default" w:ascii="Times New Roman" w:hAnsi="Times New Roman" w:eastAsia="黑体"/>
          <w:sz w:val="32"/>
          <w:lang w:val="zh-CN"/>
        </w:rPr>
      </w:pPr>
      <w:r>
        <w:rPr>
          <w:rFonts w:hint="eastAsia" w:ascii="黑体" w:hAnsi="Times New Roman" w:eastAsia="黑体"/>
          <w:sz w:val="32"/>
          <w:lang w:val="zh-CN"/>
        </w:rPr>
        <w:t>十、其他重要事项的情况说明</w:t>
      </w:r>
    </w:p>
    <w:p>
      <w:pPr>
        <w:autoSpaceDE w:val="0"/>
        <w:autoSpaceDN w:val="0"/>
        <w:adjustRightInd w:val="0"/>
        <w:spacing w:beforeLines="0" w:afterLines="0" w:line="360" w:lineRule="auto"/>
        <w:ind w:firstLine="640"/>
        <w:rPr>
          <w:rFonts w:hint="default" w:ascii="Times New Roman" w:hAnsi="Times New Roman" w:eastAsia="黑体"/>
          <w:sz w:val="32"/>
          <w:lang w:val="zh-CN"/>
        </w:rPr>
      </w:pPr>
      <w:r>
        <w:rPr>
          <w:rFonts w:hint="eastAsia" w:ascii="黑体" w:hAnsi="Times New Roman" w:eastAsia="黑体"/>
          <w:sz w:val="32"/>
          <w:lang w:val="zh-CN"/>
        </w:rPr>
        <w:t>（一）机关运行经费支出情况</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rPr>
      </w:pPr>
      <w:r>
        <w:rPr>
          <w:rFonts w:hint="eastAsia" w:ascii="仿宋_GB2312" w:hAnsi="Times New Roman" w:eastAsia="仿宋_GB2312"/>
          <w:kern w:val="0"/>
          <w:sz w:val="32"/>
        </w:rPr>
        <w:t>2021年度乌鲁木齐高新技术产业开发区（乌鲁木齐市新市区）委员会统一战线工作部单位机关运行经费支出5.2</w:t>
      </w:r>
      <w:r>
        <w:rPr>
          <w:rFonts w:hint="eastAsia" w:ascii="仿宋_GB2312" w:hAnsi="Times New Roman" w:eastAsia="仿宋_GB2312"/>
          <w:kern w:val="0"/>
          <w:sz w:val="32"/>
          <w:lang w:val="en-US" w:eastAsia="zh-CN"/>
        </w:rPr>
        <w:t>7</w:t>
      </w:r>
      <w:r>
        <w:rPr>
          <w:rFonts w:hint="eastAsia" w:ascii="仿宋_GB2312" w:hAnsi="Times New Roman" w:eastAsia="仿宋_GB2312"/>
          <w:kern w:val="0"/>
          <w:sz w:val="32"/>
        </w:rPr>
        <w:t>万元，比上年增加1.2</w:t>
      </w:r>
      <w:r>
        <w:rPr>
          <w:rFonts w:hint="eastAsia" w:ascii="仿宋_GB2312" w:hAnsi="Times New Roman" w:eastAsia="仿宋_GB2312"/>
          <w:kern w:val="0"/>
          <w:sz w:val="32"/>
          <w:lang w:val="en-US" w:eastAsia="zh-CN"/>
        </w:rPr>
        <w:t>5</w:t>
      </w:r>
      <w:r>
        <w:rPr>
          <w:rFonts w:hint="eastAsia" w:ascii="仿宋_GB2312" w:hAnsi="Times New Roman" w:eastAsia="仿宋_GB2312"/>
          <w:kern w:val="0"/>
          <w:sz w:val="32"/>
        </w:rPr>
        <w:t>万元，增长31.</w:t>
      </w:r>
      <w:r>
        <w:rPr>
          <w:rFonts w:hint="eastAsia" w:ascii="仿宋_GB2312" w:hAnsi="Times New Roman" w:eastAsia="仿宋_GB2312"/>
          <w:kern w:val="0"/>
          <w:sz w:val="32"/>
          <w:lang w:val="en-US" w:eastAsia="zh-CN"/>
        </w:rPr>
        <w:t>09</w:t>
      </w:r>
      <w:r>
        <w:rPr>
          <w:rFonts w:hint="eastAsia" w:ascii="仿宋_GB2312" w:hAnsi="Times New Roman" w:eastAsia="仿宋_GB2312"/>
          <w:kern w:val="0"/>
          <w:sz w:val="32"/>
        </w:rPr>
        <w:t>%，主要原因是：本年新成立了1个统战事务服务中心，新增加人员4人，人员经费增加。</w:t>
      </w:r>
    </w:p>
    <w:p>
      <w:pPr>
        <w:autoSpaceDE w:val="0"/>
        <w:autoSpaceDN w:val="0"/>
        <w:adjustRightInd w:val="0"/>
        <w:spacing w:beforeLines="0" w:afterLines="0" w:line="360" w:lineRule="auto"/>
        <w:ind w:firstLine="640"/>
        <w:rPr>
          <w:rFonts w:hint="default" w:ascii="Times New Roman" w:hAnsi="Times New Roman" w:eastAsia="黑体"/>
          <w:sz w:val="32"/>
        </w:rPr>
      </w:pPr>
      <w:r>
        <w:rPr>
          <w:rFonts w:hint="eastAsia" w:ascii="黑体" w:hAnsi="Times New Roman" w:eastAsia="黑体"/>
          <w:sz w:val="32"/>
        </w:rPr>
        <w:t>（</w:t>
      </w:r>
      <w:r>
        <w:rPr>
          <w:rFonts w:hint="eastAsia" w:ascii="黑体" w:hAnsi="Times New Roman" w:eastAsia="黑体"/>
          <w:sz w:val="32"/>
          <w:lang w:val="zh-CN"/>
        </w:rPr>
        <w:t>二</w:t>
      </w:r>
      <w:r>
        <w:rPr>
          <w:rFonts w:hint="eastAsia" w:ascii="黑体" w:hAnsi="Times New Roman" w:eastAsia="黑体"/>
          <w:sz w:val="32"/>
        </w:rPr>
        <w:t>）</w:t>
      </w:r>
      <w:r>
        <w:rPr>
          <w:rFonts w:hint="eastAsia" w:ascii="黑体" w:hAnsi="Times New Roman" w:eastAsia="黑体"/>
          <w:sz w:val="32"/>
          <w:lang w:val="zh-CN"/>
        </w:rPr>
        <w:t>政府采购情况</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rPr>
      </w:pPr>
      <w:r>
        <w:rPr>
          <w:rFonts w:hint="eastAsia" w:ascii="仿宋_GB2312" w:hAnsi="Times New Roman" w:eastAsia="仿宋_GB2312"/>
          <w:kern w:val="0"/>
          <w:sz w:val="32"/>
        </w:rPr>
        <w:t>2021年度政府采购支出总额0万元，其中：政府采购货物支出0万元、政府采购工程支出0.00万元、政府采购服务支出0.00万元。</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rPr>
      </w:pPr>
      <w:r>
        <w:rPr>
          <w:rFonts w:hint="eastAsia" w:ascii="仿宋_GB2312" w:hAnsi="Times New Roman" w:eastAsia="仿宋_GB2312"/>
          <w:kern w:val="0"/>
          <w:sz w:val="32"/>
        </w:rPr>
        <w:t>授予中小企业合同金额0.00万元，占政府采购支出总额的0.00%，其中：授予小微企业合同金额0.00万元，占政府采购支出总额的0.00%。</w:t>
      </w:r>
    </w:p>
    <w:p>
      <w:pPr>
        <w:autoSpaceDE w:val="0"/>
        <w:autoSpaceDN w:val="0"/>
        <w:adjustRightInd w:val="0"/>
        <w:spacing w:beforeLines="0" w:afterLines="0" w:line="360" w:lineRule="auto"/>
        <w:ind w:firstLine="640"/>
        <w:rPr>
          <w:rFonts w:hint="default" w:ascii="Times New Roman" w:hAnsi="Times New Roman" w:eastAsia="黑体"/>
          <w:sz w:val="32"/>
          <w:lang w:val="zh-CN"/>
        </w:rPr>
      </w:pPr>
      <w:r>
        <w:rPr>
          <w:rFonts w:hint="eastAsia" w:ascii="黑体" w:hAnsi="Times New Roman" w:eastAsia="黑体"/>
          <w:sz w:val="32"/>
          <w:lang w:val="zh-CN"/>
        </w:rPr>
        <w:t>（三）国有资产占用情况说明</w:t>
      </w:r>
    </w:p>
    <w:p>
      <w:pPr>
        <w:widowControl/>
        <w:shd w:val="clear" w:color="auto" w:fill="FFFFFF"/>
        <w:autoSpaceDE w:val="0"/>
        <w:autoSpaceDN w:val="0"/>
        <w:adjustRightInd w:val="0"/>
        <w:spacing w:before="100" w:beforeLines="0" w:afterLines="0" w:line="360" w:lineRule="auto"/>
        <w:ind w:left="119" w:firstLine="482"/>
        <w:rPr>
          <w:rFonts w:hint="default" w:ascii="Times New Roman" w:hAnsi="Times New Roman" w:eastAsia="方正仿宋_GBK"/>
          <w:color w:val="auto"/>
          <w:kern w:val="0"/>
          <w:sz w:val="28"/>
        </w:rPr>
      </w:pPr>
      <w:r>
        <w:rPr>
          <w:rFonts w:hint="eastAsia" w:ascii="仿宋_GB2312" w:hAnsi="Times New Roman" w:eastAsia="仿宋_GB2312"/>
          <w:kern w:val="0"/>
          <w:sz w:val="32"/>
        </w:rPr>
        <w:t>截止2021年12月31日，</w:t>
      </w:r>
      <w:r>
        <w:rPr>
          <w:rFonts w:hint="eastAsia" w:ascii="仿宋_GB2312" w:hAnsi="仿宋_GB2312" w:eastAsia="仿宋_GB2312"/>
          <w:color w:val="auto"/>
          <w:kern w:val="0"/>
          <w:sz w:val="32"/>
          <w:highlight w:val="white"/>
        </w:rPr>
        <w:t>单位共有房屋0.00（平方米），价值0.00万元。车辆2辆，价值21.11万元</w:t>
      </w:r>
      <w:r>
        <w:rPr>
          <w:rFonts w:hint="eastAsia" w:ascii="仿宋_GB2312" w:hAnsi="仿宋_GB2312" w:eastAsia="仿宋_GB2312"/>
          <w:color w:val="auto"/>
          <w:kern w:val="0"/>
          <w:sz w:val="32"/>
        </w:rPr>
        <w:t>，其中：副部（省）级领导干部用车0辆、主要领导干部用车0辆、机要通信用车0辆、应急保障用车0辆、执法执勤用车0辆、特种专业技术用车0辆、离退休干部用车0辆、其他用车2辆，其他用车主要是：伏尔加一辆，1993年购置，已移交区机关事务服务管理中心；江淮牌小型轿车新A-2B030</w:t>
      </w:r>
      <w:r>
        <w:rPr>
          <w:rFonts w:hint="eastAsia" w:ascii="仿宋_GB2312" w:hAnsi="仿宋_GB2312" w:eastAsia="仿宋_GB2312"/>
          <w:color w:val="auto"/>
          <w:kern w:val="0"/>
          <w:sz w:val="32"/>
          <w:lang w:val="en-US" w:eastAsia="zh-CN"/>
        </w:rPr>
        <w:t>一辆</w:t>
      </w:r>
      <w:r>
        <w:rPr>
          <w:rFonts w:hint="eastAsia" w:ascii="仿宋_GB2312" w:hAnsi="仿宋_GB2312" w:eastAsia="仿宋_GB2312"/>
          <w:color w:val="auto"/>
          <w:kern w:val="0"/>
          <w:sz w:val="32"/>
        </w:rPr>
        <w:t>，2010年4月购置，2013年12月移交给区机关事务服务管理中心。单位价值50万元以上通用设备0台（套），单位价值100万元以上专用设备0台（套）。</w:t>
      </w:r>
      <w:r>
        <w:rPr>
          <w:rFonts w:hint="eastAsia" w:ascii="Times New Roman" w:hAnsi="Times New Roman" w:eastAsia="方正仿宋_GBK"/>
          <w:color w:val="auto"/>
          <w:kern w:val="0"/>
          <w:sz w:val="28"/>
        </w:rPr>
        <w:t xml:space="preserve"> </w:t>
      </w:r>
    </w:p>
    <w:p>
      <w:pPr>
        <w:autoSpaceDE w:val="0"/>
        <w:autoSpaceDN w:val="0"/>
        <w:adjustRightInd w:val="0"/>
        <w:spacing w:beforeLines="0" w:afterLines="0" w:line="360" w:lineRule="auto"/>
        <w:ind w:firstLine="640"/>
        <w:rPr>
          <w:rFonts w:hint="default" w:ascii="Times New Roman" w:hAnsi="Times New Roman" w:eastAsia="黑体"/>
          <w:sz w:val="32"/>
          <w:lang w:val="zh-CN"/>
        </w:rPr>
      </w:pPr>
      <w:r>
        <w:rPr>
          <w:rFonts w:hint="eastAsia" w:ascii="黑体" w:hAnsi="Times New Roman" w:eastAsia="黑体"/>
          <w:sz w:val="32"/>
          <w:lang w:val="zh-CN"/>
        </w:rPr>
        <w:t>十一、预算绩效的情况说明</w:t>
      </w:r>
    </w:p>
    <w:p>
      <w:pPr>
        <w:widowControl/>
        <w:autoSpaceDE w:val="0"/>
        <w:autoSpaceDN w:val="0"/>
        <w:adjustRightInd w:val="0"/>
        <w:spacing w:beforeLines="0" w:afterLines="0" w:line="360" w:lineRule="auto"/>
        <w:ind w:firstLine="641"/>
        <w:rPr>
          <w:rFonts w:hint="eastAsia" w:ascii="仿宋_GB2312" w:hAnsi="仿宋_GB2312" w:eastAsia="仿宋_GB2312"/>
          <w:color w:val="auto"/>
          <w:sz w:val="32"/>
        </w:rPr>
      </w:pPr>
      <w:r>
        <w:rPr>
          <w:rFonts w:hint="eastAsia" w:ascii="仿宋_GB2312" w:hAnsi="Times New Roman" w:eastAsia="仿宋_GB2312"/>
          <w:kern w:val="0"/>
          <w:sz w:val="32"/>
        </w:rPr>
        <w:t>根据预算绩效管理要求，我单位2021年度开展预算绩效评价项目6个，共涉及资金515.40万元。预算绩效管理取得的成效：</w:t>
      </w:r>
      <w:r>
        <w:rPr>
          <w:rFonts w:hint="eastAsia" w:ascii="仿宋_GB2312" w:hAnsi="仿宋_GB2312" w:eastAsia="仿宋_GB2312"/>
          <w:color w:val="auto"/>
          <w:sz w:val="32"/>
        </w:rPr>
        <w:t>预算绩效管理取得的成效：一是所有项目资金都按照资金管理办法规定及时拨付，无滞留资金问题；二是所有项目资金都按规定办理拨付手续，按照相关资金管理办法规定的使用范围支出，专款专用，无扩大开支范围或挤占、挪用、截留等问题。发现的问题及原因：一是对各项指标和指标值要进一步优化、完善，主要在细化、量化上改进，二是自评价工作还存在自我审定的局限性，会影响评价质量，容易造成问题的疏漏，在客观性和公正性上说服力不强，三是缺少带着问题去评价的意识，四是现场评价的工作量少，后续效益评价具体措施和方法较少。下一步改进措施：一是做好预算；二是继续按规定管理好、使用好经费。具体项目自评情况附项目支出绩效自评表。</w:t>
      </w:r>
    </w:p>
    <w:p>
      <w:pPr>
        <w:widowControl/>
        <w:spacing w:beforeLines="0" w:afterLines="0"/>
        <w:jc w:val="center"/>
        <w:textAlignment w:val="center"/>
        <w:rPr>
          <w:rFonts w:hint="eastAsia" w:ascii="宋体" w:hAnsi="宋体"/>
          <w:b/>
          <w:color w:val="000000"/>
          <w:kern w:val="0"/>
          <w:sz w:val="32"/>
        </w:rPr>
      </w:pPr>
      <w:r>
        <w:rPr>
          <w:rFonts w:hint="eastAsia" w:ascii="宋体" w:hAnsi="宋体"/>
          <w:b/>
          <w:color w:val="000000"/>
          <w:kern w:val="0"/>
          <w:sz w:val="32"/>
        </w:rPr>
        <w:br w:type="page"/>
      </w:r>
    </w:p>
    <w:tbl>
      <w:tblPr>
        <w:tblStyle w:val="2"/>
        <w:tblW w:w="9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99"/>
        <w:gridCol w:w="801"/>
        <w:gridCol w:w="815"/>
        <w:gridCol w:w="884"/>
        <w:gridCol w:w="1077"/>
        <w:gridCol w:w="514"/>
        <w:gridCol w:w="750"/>
        <w:gridCol w:w="510"/>
        <w:gridCol w:w="499"/>
        <w:gridCol w:w="583"/>
        <w:gridCol w:w="655"/>
        <w:gridCol w:w="503"/>
        <w:gridCol w:w="544"/>
        <w:gridCol w:w="2"/>
        <w:gridCol w:w="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9780" w:type="dxa"/>
            <w:gridSpan w:val="15"/>
            <w:tcBorders>
              <w:top w:val="nil"/>
              <w:left w:val="nil"/>
              <w:bottom w:val="nil"/>
              <w:right w:val="nil"/>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b/>
                <w:color w:val="000000"/>
                <w:sz w:val="32"/>
              </w:rPr>
            </w:pPr>
            <w:r>
              <w:rPr>
                <w:rFonts w:hint="eastAsia" w:ascii="宋体" w:hAnsi="宋体"/>
                <w:b/>
                <w:color w:val="000000"/>
                <w:kern w:val="0"/>
                <w:sz w:val="32"/>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9780" w:type="dxa"/>
            <w:gridSpan w:val="15"/>
            <w:tcBorders>
              <w:top w:val="nil"/>
              <w:left w:val="nil"/>
              <w:bottom w:val="nil"/>
              <w:right w:val="nil"/>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0"/>
              </w:rPr>
            </w:pPr>
            <w:r>
              <w:rPr>
                <w:rFonts w:hint="eastAsia" w:ascii="宋体" w:hAnsi="宋体"/>
                <w:color w:val="000000"/>
                <w:kern w:val="0"/>
                <w:sz w:val="20"/>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16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项目名称</w:t>
            </w:r>
          </w:p>
        </w:tc>
        <w:tc>
          <w:tcPr>
            <w:tcW w:w="8180" w:type="dxa"/>
            <w:gridSpan w:val="1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访惠聚人员补助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rPr>
        <w:tc>
          <w:tcPr>
            <w:tcW w:w="16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主管部门</w:t>
            </w:r>
          </w:p>
        </w:tc>
        <w:tc>
          <w:tcPr>
            <w:tcW w:w="4040"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中国共产党乌鲁木齐高新技术产业开发区（乌鲁木齐市新市区）委员会统一战线工作部</w:t>
            </w:r>
          </w:p>
        </w:tc>
        <w:tc>
          <w:tcPr>
            <w:tcW w:w="100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实施单位</w:t>
            </w:r>
          </w:p>
        </w:tc>
        <w:tc>
          <w:tcPr>
            <w:tcW w:w="3131"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中国共产党乌鲁木齐高新技术产业开发区（乌鲁木齐市新市区）委员会统一战线工作部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160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kern w:val="0"/>
                <w:sz w:val="24"/>
              </w:rPr>
            </w:pPr>
            <w:r>
              <w:rPr>
                <w:rFonts w:hint="eastAsia" w:ascii="宋体" w:hAnsi="宋体"/>
                <w:color w:val="000000"/>
                <w:kern w:val="0"/>
                <w:sz w:val="24"/>
              </w:rPr>
              <w:t>项目资金</w:t>
            </w:r>
          </w:p>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（万元）</w:t>
            </w:r>
          </w:p>
        </w:tc>
        <w:tc>
          <w:tcPr>
            <w:tcW w:w="169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年初预算数</w:t>
            </w:r>
          </w:p>
        </w:tc>
        <w:tc>
          <w:tcPr>
            <w:tcW w:w="126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全年预算数</w:t>
            </w:r>
          </w:p>
        </w:tc>
        <w:tc>
          <w:tcPr>
            <w:tcW w:w="100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全年执行数</w:t>
            </w:r>
          </w:p>
        </w:tc>
        <w:tc>
          <w:tcPr>
            <w:tcW w:w="123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分值</w:t>
            </w:r>
          </w:p>
        </w:tc>
        <w:tc>
          <w:tcPr>
            <w:tcW w:w="104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执行率</w:t>
            </w:r>
          </w:p>
        </w:tc>
        <w:tc>
          <w:tcPr>
            <w:tcW w:w="84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160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169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年度资金总额</w:t>
            </w: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2.88</w:t>
            </w:r>
          </w:p>
        </w:tc>
        <w:tc>
          <w:tcPr>
            <w:tcW w:w="126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2.57</w:t>
            </w:r>
          </w:p>
        </w:tc>
        <w:tc>
          <w:tcPr>
            <w:tcW w:w="100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2.57</w:t>
            </w:r>
          </w:p>
        </w:tc>
        <w:tc>
          <w:tcPr>
            <w:tcW w:w="123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104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100.00%</w:t>
            </w:r>
          </w:p>
        </w:tc>
        <w:tc>
          <w:tcPr>
            <w:tcW w:w="84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160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169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其中：当年财政拨款</w:t>
            </w: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2.88</w:t>
            </w:r>
          </w:p>
        </w:tc>
        <w:tc>
          <w:tcPr>
            <w:tcW w:w="126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2.57</w:t>
            </w:r>
          </w:p>
        </w:tc>
        <w:tc>
          <w:tcPr>
            <w:tcW w:w="100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2.57</w:t>
            </w:r>
          </w:p>
        </w:tc>
        <w:tc>
          <w:tcPr>
            <w:tcW w:w="123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c>
          <w:tcPr>
            <w:tcW w:w="104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c>
          <w:tcPr>
            <w:tcW w:w="84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160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169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 xml:space="preserve">      上年结转资金</w:t>
            </w: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w:t>
            </w:r>
          </w:p>
        </w:tc>
        <w:tc>
          <w:tcPr>
            <w:tcW w:w="126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w:t>
            </w:r>
          </w:p>
        </w:tc>
        <w:tc>
          <w:tcPr>
            <w:tcW w:w="100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w:t>
            </w:r>
          </w:p>
        </w:tc>
        <w:tc>
          <w:tcPr>
            <w:tcW w:w="123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c>
          <w:tcPr>
            <w:tcW w:w="104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c>
          <w:tcPr>
            <w:tcW w:w="84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160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169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 xml:space="preserve">  其他资金</w:t>
            </w: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w:t>
            </w:r>
          </w:p>
        </w:tc>
        <w:tc>
          <w:tcPr>
            <w:tcW w:w="126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w:t>
            </w:r>
          </w:p>
        </w:tc>
        <w:tc>
          <w:tcPr>
            <w:tcW w:w="100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w:t>
            </w:r>
          </w:p>
        </w:tc>
        <w:tc>
          <w:tcPr>
            <w:tcW w:w="123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c>
          <w:tcPr>
            <w:tcW w:w="104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c>
          <w:tcPr>
            <w:tcW w:w="84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799"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年度总体目标</w:t>
            </w:r>
          </w:p>
        </w:tc>
        <w:tc>
          <w:tcPr>
            <w:tcW w:w="4841"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预期目标</w:t>
            </w:r>
          </w:p>
        </w:tc>
        <w:tc>
          <w:tcPr>
            <w:tcW w:w="4140" w:type="dxa"/>
            <w:gridSpan w:val="8"/>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8" w:hRule="atLeast"/>
        </w:trPr>
        <w:tc>
          <w:tcPr>
            <w:tcW w:w="79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4841"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left"/>
              <w:textAlignment w:val="center"/>
              <w:rPr>
                <w:rFonts w:hint="eastAsia" w:ascii="宋体" w:hAnsi="宋体"/>
                <w:color w:val="000000"/>
                <w:kern w:val="0"/>
                <w:sz w:val="24"/>
              </w:rPr>
            </w:pPr>
            <w:r>
              <w:rPr>
                <w:rFonts w:hint="eastAsia" w:ascii="宋体" w:hAnsi="宋体"/>
                <w:color w:val="000000"/>
                <w:kern w:val="0"/>
                <w:sz w:val="24"/>
              </w:rPr>
              <w:t>根据市委“访民情惠民生聚民心”活动领导小组办公室《关于各级干部深入“访民情惠民生聚民心”活动工作有关问题的通知》（乌民办（2014）7号）精神和自治区党委安排部署，为有效保证高新区各级干部深入基层“访民情惠民生聚民心”活动的正常开展，对高新区工作组及工作组员给予工作开展经费和个人补助，确保社会稳定。</w:t>
            </w:r>
          </w:p>
          <w:p>
            <w:pPr>
              <w:widowControl/>
              <w:spacing w:beforeLines="0" w:afterLines="0"/>
              <w:jc w:val="left"/>
              <w:textAlignment w:val="center"/>
              <w:rPr>
                <w:rFonts w:hint="eastAsia" w:ascii="宋体" w:hAnsi="宋体"/>
                <w:color w:val="000000"/>
                <w:kern w:val="0"/>
                <w:sz w:val="24"/>
              </w:rPr>
            </w:pPr>
            <w:r>
              <w:rPr>
                <w:rFonts w:hint="eastAsia" w:ascii="宋体" w:hAnsi="宋体"/>
                <w:color w:val="000000"/>
                <w:kern w:val="0"/>
                <w:sz w:val="24"/>
              </w:rPr>
              <w:t>1.强化纪律意识，树立良好形象；</w:t>
            </w:r>
          </w:p>
          <w:p>
            <w:pPr>
              <w:widowControl/>
              <w:spacing w:beforeLines="0" w:afterLines="0"/>
              <w:jc w:val="left"/>
              <w:textAlignment w:val="center"/>
              <w:rPr>
                <w:rFonts w:hint="eastAsia" w:ascii="宋体" w:hAnsi="宋体"/>
                <w:color w:val="000000"/>
                <w:kern w:val="0"/>
                <w:sz w:val="24"/>
              </w:rPr>
            </w:pPr>
            <w:r>
              <w:rPr>
                <w:rFonts w:hint="eastAsia" w:ascii="宋体" w:hAnsi="宋体"/>
                <w:color w:val="000000"/>
                <w:kern w:val="0"/>
                <w:sz w:val="24"/>
              </w:rPr>
              <w:t>2.加强基层文化阵地建设，利用现有条件做好便民服务工作。</w:t>
            </w:r>
          </w:p>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3.积极协调落实访惠聚人员补助项目，做好惠民实事好事。</w:t>
            </w:r>
          </w:p>
        </w:tc>
        <w:tc>
          <w:tcPr>
            <w:tcW w:w="4140" w:type="dxa"/>
            <w:gridSpan w:val="8"/>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该项目全年财政拨款共计2.88万元，实际完成2.88万元。该项目已全部完成。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79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01" w:type="dxa"/>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815"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884"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1077"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514"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750" w:type="dxa"/>
            <w:tcBorders>
              <w:top w:val="single" w:color="000000" w:sz="4" w:space="0"/>
              <w:left w:val="nil"/>
              <w:bottom w:val="single" w:color="000000" w:sz="4" w:space="0"/>
              <w:right w:val="single" w:color="000000" w:sz="4" w:space="0"/>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510" w:type="dxa"/>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499"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583"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655"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503"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544"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846" w:type="dxa"/>
            <w:gridSpan w:val="2"/>
            <w:tcBorders>
              <w:top w:val="single" w:color="000000" w:sz="4" w:space="0"/>
              <w:left w:val="nil"/>
              <w:bottom w:val="single" w:color="000000" w:sz="4" w:space="0"/>
              <w:right w:val="single" w:color="000000" w:sz="4" w:space="0"/>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799"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01"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一级指标</w:t>
            </w:r>
          </w:p>
        </w:tc>
        <w:tc>
          <w:tcPr>
            <w:tcW w:w="81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二级指标</w:t>
            </w:r>
          </w:p>
        </w:tc>
        <w:tc>
          <w:tcPr>
            <w:tcW w:w="2475"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三级指标</w:t>
            </w:r>
          </w:p>
        </w:tc>
        <w:tc>
          <w:tcPr>
            <w:tcW w:w="75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年度指标值</w:t>
            </w:r>
          </w:p>
        </w:tc>
        <w:tc>
          <w:tcPr>
            <w:tcW w:w="51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实际完成值</w:t>
            </w:r>
          </w:p>
        </w:tc>
        <w:tc>
          <w:tcPr>
            <w:tcW w:w="1082"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分值</w:t>
            </w:r>
          </w:p>
        </w:tc>
        <w:tc>
          <w:tcPr>
            <w:tcW w:w="1158"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得分</w:t>
            </w:r>
          </w:p>
        </w:tc>
        <w:tc>
          <w:tcPr>
            <w:tcW w:w="1390"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79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01"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1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475"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1082"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115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139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799"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年度绩效指标完成情况</w:t>
            </w:r>
          </w:p>
        </w:tc>
        <w:tc>
          <w:tcPr>
            <w:tcW w:w="801"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产出指标</w:t>
            </w:r>
          </w:p>
        </w:tc>
        <w:tc>
          <w:tcPr>
            <w:tcW w:w="81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数量指标</w:t>
            </w:r>
          </w:p>
        </w:tc>
        <w:tc>
          <w:tcPr>
            <w:tcW w:w="247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发放（补助）人数（人次）</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=2人</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2人</w:t>
            </w:r>
          </w:p>
        </w:tc>
        <w:tc>
          <w:tcPr>
            <w:tcW w:w="108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115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13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79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01"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1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数量指标</w:t>
            </w:r>
          </w:p>
        </w:tc>
        <w:tc>
          <w:tcPr>
            <w:tcW w:w="247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发放（补助）次数</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=12次</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12次</w:t>
            </w:r>
          </w:p>
        </w:tc>
        <w:tc>
          <w:tcPr>
            <w:tcW w:w="108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115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13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79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01"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1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质量指标</w:t>
            </w:r>
          </w:p>
        </w:tc>
        <w:tc>
          <w:tcPr>
            <w:tcW w:w="247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考勤执行合格率</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108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115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13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79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01"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1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质量指标</w:t>
            </w:r>
          </w:p>
        </w:tc>
        <w:tc>
          <w:tcPr>
            <w:tcW w:w="247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协助社区工作完成率</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108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115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13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79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01"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1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时效指标</w:t>
            </w:r>
          </w:p>
        </w:tc>
        <w:tc>
          <w:tcPr>
            <w:tcW w:w="247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资金发放（补助）及时性</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108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115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13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79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01"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1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成本指标</w:t>
            </w:r>
          </w:p>
        </w:tc>
        <w:tc>
          <w:tcPr>
            <w:tcW w:w="247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每次发放（补助）资金数</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&lt;=0.24万元</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0.24万元</w:t>
            </w:r>
          </w:p>
        </w:tc>
        <w:tc>
          <w:tcPr>
            <w:tcW w:w="108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115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13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79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01"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1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成本指标</w:t>
            </w:r>
          </w:p>
        </w:tc>
        <w:tc>
          <w:tcPr>
            <w:tcW w:w="247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发放资金总数</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&lt;=2.88万元</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2.57万元</w:t>
            </w:r>
          </w:p>
        </w:tc>
        <w:tc>
          <w:tcPr>
            <w:tcW w:w="108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115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13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79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01"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效益指标</w:t>
            </w:r>
          </w:p>
        </w:tc>
        <w:tc>
          <w:tcPr>
            <w:tcW w:w="81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经济效益指标</w:t>
            </w:r>
          </w:p>
        </w:tc>
        <w:tc>
          <w:tcPr>
            <w:tcW w:w="247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color w:val="000000"/>
                <w:sz w:val="24"/>
              </w:rPr>
            </w:pP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108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115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13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79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01"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1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社会效益指标</w:t>
            </w:r>
          </w:p>
        </w:tc>
        <w:tc>
          <w:tcPr>
            <w:tcW w:w="247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有效完善工作队工作职能</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有效</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 xml:space="preserve"> 有效</w:t>
            </w:r>
          </w:p>
        </w:tc>
        <w:tc>
          <w:tcPr>
            <w:tcW w:w="108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115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13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79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01"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1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社会效益指标</w:t>
            </w:r>
          </w:p>
        </w:tc>
        <w:tc>
          <w:tcPr>
            <w:tcW w:w="247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有效解决社会居民困难</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有效</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 xml:space="preserve"> 有效</w:t>
            </w:r>
          </w:p>
        </w:tc>
        <w:tc>
          <w:tcPr>
            <w:tcW w:w="108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115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13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79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01"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1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生态效益指标</w:t>
            </w:r>
          </w:p>
        </w:tc>
        <w:tc>
          <w:tcPr>
            <w:tcW w:w="247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color w:val="000000"/>
                <w:sz w:val="24"/>
              </w:rPr>
            </w:pP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108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115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13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rPr>
        <w:tc>
          <w:tcPr>
            <w:tcW w:w="79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01"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1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可持续影响指标</w:t>
            </w:r>
          </w:p>
        </w:tc>
        <w:tc>
          <w:tcPr>
            <w:tcW w:w="247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持续解决所在社区居民困难</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&gt;=1年</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1年</w:t>
            </w:r>
          </w:p>
        </w:tc>
        <w:tc>
          <w:tcPr>
            <w:tcW w:w="108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115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13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79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0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满意度指标</w:t>
            </w:r>
          </w:p>
        </w:tc>
        <w:tc>
          <w:tcPr>
            <w:tcW w:w="81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满意度指标</w:t>
            </w:r>
          </w:p>
        </w:tc>
        <w:tc>
          <w:tcPr>
            <w:tcW w:w="247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受益人员满意度</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&gt;=95%</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95%</w:t>
            </w:r>
          </w:p>
        </w:tc>
        <w:tc>
          <w:tcPr>
            <w:tcW w:w="108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115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13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79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0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1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84" w:type="dxa"/>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c>
          <w:tcPr>
            <w:tcW w:w="1077" w:type="dxa"/>
            <w:tcBorders>
              <w:top w:val="single" w:color="000000" w:sz="4" w:space="0"/>
              <w:left w:val="nil"/>
              <w:bottom w:val="single" w:color="000000" w:sz="4" w:space="0"/>
              <w:right w:val="nil"/>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c>
          <w:tcPr>
            <w:tcW w:w="514" w:type="dxa"/>
            <w:tcBorders>
              <w:top w:val="single" w:color="000000" w:sz="4" w:space="0"/>
              <w:left w:val="nil"/>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499" w:type="dxa"/>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583" w:type="dxa"/>
            <w:tcBorders>
              <w:top w:val="single" w:color="000000" w:sz="4" w:space="0"/>
              <w:left w:val="nil"/>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655" w:type="dxa"/>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503" w:type="dxa"/>
            <w:tcBorders>
              <w:top w:val="single" w:color="000000" w:sz="4" w:space="0"/>
              <w:left w:val="nil"/>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54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trPr>
        <w:tc>
          <w:tcPr>
            <w:tcW w:w="6150" w:type="dxa"/>
            <w:gridSpan w:val="8"/>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总分</w:t>
            </w:r>
          </w:p>
        </w:tc>
        <w:tc>
          <w:tcPr>
            <w:tcW w:w="108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115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100.00分</w:t>
            </w:r>
          </w:p>
        </w:tc>
        <w:tc>
          <w:tcPr>
            <w:tcW w:w="13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r>
    </w:tbl>
    <w:p>
      <w:pPr>
        <w:widowControl/>
        <w:autoSpaceDE w:val="0"/>
        <w:autoSpaceDN w:val="0"/>
        <w:adjustRightInd w:val="0"/>
        <w:spacing w:beforeLines="0" w:afterLines="0" w:line="360" w:lineRule="auto"/>
        <w:ind w:firstLine="641"/>
        <w:rPr>
          <w:rFonts w:hint="eastAsia" w:ascii="仿宋_GB2312" w:hAnsi="仿宋_GB2312" w:eastAsia="仿宋_GB2312"/>
          <w:color w:val="auto"/>
          <w:sz w:val="30"/>
        </w:rPr>
      </w:pPr>
    </w:p>
    <w:p>
      <w:pPr>
        <w:widowControl/>
        <w:spacing w:beforeLines="0" w:afterLines="0"/>
        <w:jc w:val="center"/>
        <w:textAlignment w:val="center"/>
        <w:rPr>
          <w:rFonts w:hint="eastAsia" w:ascii="宋体" w:hAnsi="宋体"/>
          <w:b/>
          <w:color w:val="000000"/>
          <w:kern w:val="0"/>
          <w:sz w:val="32"/>
        </w:rPr>
      </w:pPr>
      <w:r>
        <w:rPr>
          <w:rFonts w:hint="eastAsia" w:ascii="宋体" w:hAnsi="宋体"/>
          <w:b/>
          <w:color w:val="000000"/>
          <w:kern w:val="0"/>
          <w:sz w:val="32"/>
        </w:rPr>
        <w:br w:type="page"/>
      </w:r>
    </w:p>
    <w:tbl>
      <w:tblPr>
        <w:tblStyle w:val="2"/>
        <w:tblW w:w="9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0"/>
        <w:gridCol w:w="270"/>
        <w:gridCol w:w="344"/>
        <w:gridCol w:w="1757"/>
        <w:gridCol w:w="2446"/>
        <w:gridCol w:w="1006"/>
        <w:gridCol w:w="870"/>
        <w:gridCol w:w="750"/>
        <w:gridCol w:w="134"/>
        <w:gridCol w:w="256"/>
        <w:gridCol w:w="216"/>
        <w:gridCol w:w="534"/>
        <w:gridCol w:w="336"/>
        <w:gridCol w:w="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9820" w:type="dxa"/>
            <w:gridSpan w:val="14"/>
            <w:tcBorders>
              <w:top w:val="nil"/>
              <w:left w:val="nil"/>
              <w:bottom w:val="nil"/>
              <w:right w:val="nil"/>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b/>
                <w:color w:val="000000"/>
                <w:sz w:val="32"/>
              </w:rPr>
            </w:pPr>
            <w:r>
              <w:rPr>
                <w:rFonts w:hint="eastAsia" w:ascii="宋体" w:hAnsi="宋体"/>
                <w:b/>
                <w:color w:val="000000"/>
                <w:kern w:val="0"/>
                <w:sz w:val="32"/>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 w:hRule="atLeast"/>
        </w:trPr>
        <w:tc>
          <w:tcPr>
            <w:tcW w:w="9820" w:type="dxa"/>
            <w:gridSpan w:val="14"/>
            <w:tcBorders>
              <w:top w:val="nil"/>
              <w:left w:val="nil"/>
              <w:bottom w:val="nil"/>
              <w:right w:val="nil"/>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0"/>
              </w:rPr>
            </w:pPr>
            <w:r>
              <w:rPr>
                <w:rFonts w:hint="eastAsia" w:ascii="宋体" w:hAnsi="宋体"/>
                <w:color w:val="000000"/>
                <w:kern w:val="0"/>
                <w:sz w:val="20"/>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trPr>
        <w:tc>
          <w:tcPr>
            <w:tcW w:w="5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项目名称</w:t>
            </w:r>
          </w:p>
        </w:tc>
        <w:tc>
          <w:tcPr>
            <w:tcW w:w="9280" w:type="dxa"/>
            <w:gridSpan w:val="1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宗教人士生活补贴费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6" w:hRule="atLeast"/>
        </w:trPr>
        <w:tc>
          <w:tcPr>
            <w:tcW w:w="5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主管部门</w:t>
            </w:r>
          </w:p>
        </w:tc>
        <w:tc>
          <w:tcPr>
            <w:tcW w:w="6423"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中国共产党乌鲁木齐高新技术产业开发区（乌鲁木齐市新市区）委员会统一战线工作部</w:t>
            </w:r>
          </w:p>
        </w:tc>
        <w:tc>
          <w:tcPr>
            <w:tcW w:w="88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实施单位</w:t>
            </w:r>
          </w:p>
        </w:tc>
        <w:tc>
          <w:tcPr>
            <w:tcW w:w="1973"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中国共产党乌鲁木齐高新技术产业开发区（乌鲁木齐市新市区）委员会统一战线工作部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trPr>
        <w:tc>
          <w:tcPr>
            <w:tcW w:w="54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kern w:val="0"/>
                <w:sz w:val="24"/>
              </w:rPr>
            </w:pPr>
            <w:r>
              <w:rPr>
                <w:rFonts w:hint="eastAsia" w:ascii="宋体" w:hAnsi="宋体"/>
                <w:color w:val="000000"/>
                <w:kern w:val="0"/>
                <w:sz w:val="24"/>
              </w:rPr>
              <w:t>项目资金</w:t>
            </w:r>
          </w:p>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（万元）</w:t>
            </w:r>
          </w:p>
        </w:tc>
        <w:tc>
          <w:tcPr>
            <w:tcW w:w="210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44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年初预算数</w:t>
            </w:r>
          </w:p>
        </w:tc>
        <w:tc>
          <w:tcPr>
            <w:tcW w:w="187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全年预算数</w:t>
            </w:r>
          </w:p>
        </w:tc>
        <w:tc>
          <w:tcPr>
            <w:tcW w:w="88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全年执行数</w:t>
            </w:r>
          </w:p>
        </w:tc>
        <w:tc>
          <w:tcPr>
            <w:tcW w:w="47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分值</w:t>
            </w:r>
          </w:p>
        </w:tc>
        <w:tc>
          <w:tcPr>
            <w:tcW w:w="8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执行率</w:t>
            </w:r>
          </w:p>
        </w:tc>
        <w:tc>
          <w:tcPr>
            <w:tcW w:w="63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trPr>
        <w:tc>
          <w:tcPr>
            <w:tcW w:w="54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10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年度资金总额</w:t>
            </w:r>
          </w:p>
        </w:tc>
        <w:tc>
          <w:tcPr>
            <w:tcW w:w="244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185.50</w:t>
            </w:r>
          </w:p>
        </w:tc>
        <w:tc>
          <w:tcPr>
            <w:tcW w:w="187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206.03</w:t>
            </w:r>
          </w:p>
        </w:tc>
        <w:tc>
          <w:tcPr>
            <w:tcW w:w="88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206.03</w:t>
            </w:r>
          </w:p>
        </w:tc>
        <w:tc>
          <w:tcPr>
            <w:tcW w:w="47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8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100.00%</w:t>
            </w:r>
          </w:p>
        </w:tc>
        <w:tc>
          <w:tcPr>
            <w:tcW w:w="63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6" w:hRule="atLeast"/>
        </w:trPr>
        <w:tc>
          <w:tcPr>
            <w:tcW w:w="54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10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其中：当年财政拨款</w:t>
            </w:r>
          </w:p>
        </w:tc>
        <w:tc>
          <w:tcPr>
            <w:tcW w:w="244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185.5</w:t>
            </w:r>
          </w:p>
        </w:tc>
        <w:tc>
          <w:tcPr>
            <w:tcW w:w="187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206.03</w:t>
            </w:r>
          </w:p>
        </w:tc>
        <w:tc>
          <w:tcPr>
            <w:tcW w:w="88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206.03</w:t>
            </w:r>
          </w:p>
        </w:tc>
        <w:tc>
          <w:tcPr>
            <w:tcW w:w="47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c>
          <w:tcPr>
            <w:tcW w:w="8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c>
          <w:tcPr>
            <w:tcW w:w="63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trPr>
        <w:tc>
          <w:tcPr>
            <w:tcW w:w="54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10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 xml:space="preserve">      上年结转资金</w:t>
            </w:r>
          </w:p>
        </w:tc>
        <w:tc>
          <w:tcPr>
            <w:tcW w:w="244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w:t>
            </w:r>
          </w:p>
        </w:tc>
        <w:tc>
          <w:tcPr>
            <w:tcW w:w="187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w:t>
            </w:r>
          </w:p>
        </w:tc>
        <w:tc>
          <w:tcPr>
            <w:tcW w:w="88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w:t>
            </w:r>
          </w:p>
        </w:tc>
        <w:tc>
          <w:tcPr>
            <w:tcW w:w="47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c>
          <w:tcPr>
            <w:tcW w:w="8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c>
          <w:tcPr>
            <w:tcW w:w="63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6" w:hRule="atLeast"/>
        </w:trPr>
        <w:tc>
          <w:tcPr>
            <w:tcW w:w="54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10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 xml:space="preserve">  其他资金</w:t>
            </w:r>
          </w:p>
        </w:tc>
        <w:tc>
          <w:tcPr>
            <w:tcW w:w="244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w:t>
            </w:r>
          </w:p>
        </w:tc>
        <w:tc>
          <w:tcPr>
            <w:tcW w:w="187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w:t>
            </w:r>
          </w:p>
        </w:tc>
        <w:tc>
          <w:tcPr>
            <w:tcW w:w="88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w:t>
            </w:r>
          </w:p>
        </w:tc>
        <w:tc>
          <w:tcPr>
            <w:tcW w:w="47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c>
          <w:tcPr>
            <w:tcW w:w="87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c>
          <w:tcPr>
            <w:tcW w:w="63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6" w:hRule="atLeast"/>
        </w:trPr>
        <w:tc>
          <w:tcPr>
            <w:tcW w:w="27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年度总体目标</w:t>
            </w:r>
          </w:p>
        </w:tc>
        <w:tc>
          <w:tcPr>
            <w:tcW w:w="6693"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预期目标</w:t>
            </w:r>
          </w:p>
        </w:tc>
        <w:tc>
          <w:tcPr>
            <w:tcW w:w="2857"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9" w:hRule="atLeast"/>
        </w:trPr>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6693"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left"/>
              <w:textAlignment w:val="center"/>
              <w:rPr>
                <w:rFonts w:hint="eastAsia" w:ascii="宋体" w:hAnsi="宋体"/>
                <w:color w:val="000000"/>
                <w:kern w:val="0"/>
                <w:sz w:val="24"/>
              </w:rPr>
            </w:pPr>
            <w:r>
              <w:rPr>
                <w:rFonts w:hint="eastAsia" w:ascii="宋体" w:hAnsi="宋体"/>
                <w:color w:val="000000"/>
                <w:kern w:val="0"/>
                <w:sz w:val="24"/>
              </w:rPr>
              <w:t>涉密类项目，不方便提供更多数据。</w:t>
            </w:r>
          </w:p>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根据《关于规范我市宗教教职人员生活补贴费基数标准的通知》、《关于提高我市宗教教职人员生活补贴费的通知》文件精神。让宗教人士有生活来源。</w:t>
            </w:r>
          </w:p>
        </w:tc>
        <w:tc>
          <w:tcPr>
            <w:tcW w:w="2857"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该项目补贴按月发放、准确、及时，截止2021年12月31日项目目标已全部完成。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6" w:hRule="atLeast"/>
        </w:trPr>
        <w:tc>
          <w:tcPr>
            <w:tcW w:w="2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344"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1757"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2446"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1006"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870" w:type="dxa"/>
            <w:tcBorders>
              <w:top w:val="single" w:color="000000" w:sz="4" w:space="0"/>
              <w:left w:val="nil"/>
              <w:bottom w:val="single" w:color="000000" w:sz="4" w:space="0"/>
              <w:right w:val="single" w:color="000000" w:sz="4" w:space="0"/>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750" w:type="dxa"/>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134"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256"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216"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534"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336"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631" w:type="dxa"/>
            <w:tcBorders>
              <w:top w:val="single" w:color="000000" w:sz="4" w:space="0"/>
              <w:left w:val="nil"/>
              <w:bottom w:val="single" w:color="000000" w:sz="4" w:space="0"/>
              <w:right w:val="single" w:color="000000" w:sz="4" w:space="0"/>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7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一级指标</w:t>
            </w:r>
          </w:p>
        </w:tc>
        <w:tc>
          <w:tcPr>
            <w:tcW w:w="344"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二级指标</w:t>
            </w:r>
          </w:p>
        </w:tc>
        <w:tc>
          <w:tcPr>
            <w:tcW w:w="5209"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三级指标</w:t>
            </w:r>
          </w:p>
        </w:tc>
        <w:tc>
          <w:tcPr>
            <w:tcW w:w="87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年度指标值</w:t>
            </w:r>
          </w:p>
        </w:tc>
        <w:tc>
          <w:tcPr>
            <w:tcW w:w="75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实际完成值</w:t>
            </w:r>
          </w:p>
        </w:tc>
        <w:tc>
          <w:tcPr>
            <w:tcW w:w="39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分值</w:t>
            </w:r>
          </w:p>
        </w:tc>
        <w:tc>
          <w:tcPr>
            <w:tcW w:w="75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得分</w:t>
            </w:r>
          </w:p>
        </w:tc>
        <w:tc>
          <w:tcPr>
            <w:tcW w:w="967"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3" w:hRule="atLeast"/>
        </w:trPr>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4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5209"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9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75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96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9" w:hRule="atLeast"/>
        </w:trPr>
        <w:tc>
          <w:tcPr>
            <w:tcW w:w="27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年度绩效指标完成情况</w:t>
            </w:r>
          </w:p>
        </w:tc>
        <w:tc>
          <w:tcPr>
            <w:tcW w:w="27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产出指标</w:t>
            </w:r>
          </w:p>
        </w:tc>
        <w:tc>
          <w:tcPr>
            <w:tcW w:w="34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数量指标</w:t>
            </w:r>
          </w:p>
        </w:tc>
        <w:tc>
          <w:tcPr>
            <w:tcW w:w="5209"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发放（补助）人数（人次）</w:t>
            </w: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=68人</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68人</w:t>
            </w:r>
          </w:p>
        </w:tc>
        <w:tc>
          <w:tcPr>
            <w:tcW w:w="3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96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9" w:hRule="atLeast"/>
        </w:trPr>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4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数量指标</w:t>
            </w:r>
          </w:p>
        </w:tc>
        <w:tc>
          <w:tcPr>
            <w:tcW w:w="5209"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发放（补助）次数</w:t>
            </w: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=12次</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12次</w:t>
            </w:r>
          </w:p>
        </w:tc>
        <w:tc>
          <w:tcPr>
            <w:tcW w:w="3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96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9" w:hRule="atLeast"/>
        </w:trPr>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4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质量指标</w:t>
            </w:r>
          </w:p>
        </w:tc>
        <w:tc>
          <w:tcPr>
            <w:tcW w:w="5209"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资金到位率</w:t>
            </w: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3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96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9" w:hRule="atLeast"/>
        </w:trPr>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4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时效指标</w:t>
            </w:r>
          </w:p>
        </w:tc>
        <w:tc>
          <w:tcPr>
            <w:tcW w:w="5209"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资金发放（补助）及时性</w:t>
            </w: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3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96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9" w:hRule="atLeast"/>
        </w:trPr>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4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成本指标</w:t>
            </w:r>
          </w:p>
        </w:tc>
        <w:tc>
          <w:tcPr>
            <w:tcW w:w="5209"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每次发放（补助）资金数</w:t>
            </w: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&lt;=15.04万元</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15.04万元</w:t>
            </w:r>
          </w:p>
        </w:tc>
        <w:tc>
          <w:tcPr>
            <w:tcW w:w="3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96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9" w:hRule="atLeast"/>
        </w:trPr>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4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成本指标</w:t>
            </w:r>
          </w:p>
        </w:tc>
        <w:tc>
          <w:tcPr>
            <w:tcW w:w="5209"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经费总额</w:t>
            </w: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&lt;=180.5万元</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206.03万元</w:t>
            </w:r>
          </w:p>
        </w:tc>
        <w:tc>
          <w:tcPr>
            <w:tcW w:w="3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96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4" w:hRule="atLeast"/>
        </w:trPr>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效益指标</w:t>
            </w:r>
          </w:p>
        </w:tc>
        <w:tc>
          <w:tcPr>
            <w:tcW w:w="34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经济效益指标</w:t>
            </w:r>
          </w:p>
        </w:tc>
        <w:tc>
          <w:tcPr>
            <w:tcW w:w="5209"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color w:val="000000"/>
                <w:sz w:val="24"/>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96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4" w:hRule="atLeast"/>
        </w:trPr>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4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社会效益指标</w:t>
            </w:r>
          </w:p>
        </w:tc>
        <w:tc>
          <w:tcPr>
            <w:tcW w:w="520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充分发挥基层阵地作用，落实党的十九大精神和中央治疆方略，维护新疆社会稳定和长治久安的总目标。</w:t>
            </w: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有效</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有效</w:t>
            </w:r>
          </w:p>
        </w:tc>
        <w:tc>
          <w:tcPr>
            <w:tcW w:w="3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15</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15</w:t>
            </w:r>
          </w:p>
        </w:tc>
        <w:tc>
          <w:tcPr>
            <w:tcW w:w="96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4" w:hRule="atLeast"/>
        </w:trPr>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4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生态效益指标</w:t>
            </w:r>
          </w:p>
        </w:tc>
        <w:tc>
          <w:tcPr>
            <w:tcW w:w="5209"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color w:val="000000"/>
                <w:sz w:val="24"/>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96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1" w:hRule="atLeast"/>
        </w:trPr>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4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可持续影响指标</w:t>
            </w:r>
          </w:p>
        </w:tc>
        <w:tc>
          <w:tcPr>
            <w:tcW w:w="5209"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紧紧围绕社会稳定和长治久安的总目标，持续满足群众需求。</w:t>
            </w: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&gt;=1年</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1年</w:t>
            </w:r>
          </w:p>
        </w:tc>
        <w:tc>
          <w:tcPr>
            <w:tcW w:w="3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15</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15</w:t>
            </w:r>
          </w:p>
        </w:tc>
        <w:tc>
          <w:tcPr>
            <w:tcW w:w="96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6" w:hRule="atLeast"/>
        </w:trPr>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满意度指标</w:t>
            </w:r>
          </w:p>
        </w:tc>
        <w:tc>
          <w:tcPr>
            <w:tcW w:w="34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满意度指标</w:t>
            </w:r>
          </w:p>
        </w:tc>
        <w:tc>
          <w:tcPr>
            <w:tcW w:w="5209"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受益人员满意度</w:t>
            </w: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&gt;=95%</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95%</w:t>
            </w:r>
          </w:p>
        </w:tc>
        <w:tc>
          <w:tcPr>
            <w:tcW w:w="3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96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6" w:hRule="atLeast"/>
        </w:trPr>
        <w:tc>
          <w:tcPr>
            <w:tcW w:w="2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4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1757" w:type="dxa"/>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c>
          <w:tcPr>
            <w:tcW w:w="2446" w:type="dxa"/>
            <w:tcBorders>
              <w:top w:val="single" w:color="000000" w:sz="4" w:space="0"/>
              <w:left w:val="nil"/>
              <w:bottom w:val="single" w:color="000000" w:sz="4" w:space="0"/>
              <w:right w:val="nil"/>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c>
          <w:tcPr>
            <w:tcW w:w="1006" w:type="dxa"/>
            <w:tcBorders>
              <w:top w:val="single" w:color="000000" w:sz="4" w:space="0"/>
              <w:left w:val="nil"/>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134" w:type="dxa"/>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56" w:type="dxa"/>
            <w:tcBorders>
              <w:top w:val="single" w:color="000000" w:sz="4" w:space="0"/>
              <w:left w:val="nil"/>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16" w:type="dxa"/>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534" w:type="dxa"/>
            <w:tcBorders>
              <w:top w:val="single" w:color="000000" w:sz="4" w:space="0"/>
              <w:left w:val="nil"/>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96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7713" w:type="dxa"/>
            <w:gridSpan w:val="8"/>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总分</w:t>
            </w:r>
          </w:p>
        </w:tc>
        <w:tc>
          <w:tcPr>
            <w:tcW w:w="3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100.00分</w:t>
            </w:r>
          </w:p>
        </w:tc>
        <w:tc>
          <w:tcPr>
            <w:tcW w:w="96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r>
    </w:tbl>
    <w:p>
      <w:pPr>
        <w:spacing w:beforeLines="0" w:afterLines="0"/>
        <w:ind w:firstLine="723" w:firstLineChars="200"/>
        <w:rPr>
          <w:rFonts w:hint="eastAsia" w:ascii="仿宋_GB2312" w:hAnsi="Times New Roman" w:eastAsia="仿宋_GB2312"/>
          <w:b/>
          <w:color w:val="FF0000"/>
          <w:kern w:val="0"/>
          <w:sz w:val="36"/>
        </w:rPr>
      </w:pPr>
    </w:p>
    <w:p>
      <w:pPr>
        <w:widowControl/>
        <w:spacing w:beforeLines="0" w:afterLines="0"/>
        <w:jc w:val="center"/>
        <w:textAlignment w:val="center"/>
        <w:rPr>
          <w:rFonts w:hint="eastAsia" w:ascii="宋体" w:hAnsi="宋体"/>
          <w:b/>
          <w:color w:val="000000"/>
          <w:kern w:val="0"/>
          <w:sz w:val="32"/>
        </w:rPr>
      </w:pPr>
      <w:r>
        <w:rPr>
          <w:rFonts w:hint="eastAsia" w:ascii="宋体" w:hAnsi="宋体"/>
          <w:b/>
          <w:color w:val="000000"/>
          <w:kern w:val="0"/>
          <w:sz w:val="32"/>
        </w:rPr>
        <w:br w:type="page"/>
      </w:r>
    </w:p>
    <w:tbl>
      <w:tblPr>
        <w:tblStyle w:val="2"/>
        <w:tblW w:w="98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0"/>
        <w:gridCol w:w="270"/>
        <w:gridCol w:w="270"/>
        <w:gridCol w:w="1860"/>
        <w:gridCol w:w="2590"/>
        <w:gridCol w:w="1065"/>
        <w:gridCol w:w="870"/>
        <w:gridCol w:w="750"/>
        <w:gridCol w:w="69"/>
        <w:gridCol w:w="7"/>
        <w:gridCol w:w="314"/>
        <w:gridCol w:w="24"/>
        <w:gridCol w:w="58"/>
        <w:gridCol w:w="563"/>
        <w:gridCol w:w="249"/>
        <w:gridCol w:w="62"/>
        <w:gridCol w:w="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9859" w:type="dxa"/>
            <w:gridSpan w:val="17"/>
            <w:tcBorders>
              <w:top w:val="nil"/>
              <w:left w:val="nil"/>
              <w:bottom w:val="nil"/>
              <w:right w:val="nil"/>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b/>
                <w:color w:val="000000"/>
                <w:sz w:val="32"/>
              </w:rPr>
            </w:pPr>
            <w:r>
              <w:rPr>
                <w:rFonts w:hint="eastAsia" w:ascii="宋体" w:hAnsi="宋体"/>
                <w:b/>
                <w:color w:val="000000"/>
                <w:kern w:val="0"/>
                <w:sz w:val="32"/>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7" w:hRule="atLeast"/>
        </w:trPr>
        <w:tc>
          <w:tcPr>
            <w:tcW w:w="9859" w:type="dxa"/>
            <w:gridSpan w:val="17"/>
            <w:tcBorders>
              <w:top w:val="nil"/>
              <w:left w:val="nil"/>
              <w:bottom w:val="nil"/>
              <w:right w:val="nil"/>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0"/>
              </w:rPr>
            </w:pPr>
            <w:r>
              <w:rPr>
                <w:rFonts w:hint="eastAsia" w:ascii="宋体" w:hAnsi="宋体"/>
                <w:color w:val="000000"/>
                <w:kern w:val="0"/>
                <w:sz w:val="20"/>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 w:hRule="atLeast"/>
        </w:trPr>
        <w:tc>
          <w:tcPr>
            <w:tcW w:w="5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项目名称</w:t>
            </w:r>
          </w:p>
        </w:tc>
        <w:tc>
          <w:tcPr>
            <w:tcW w:w="9319" w:type="dxa"/>
            <w:gridSpan w:val="1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驻村管寺人员经费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0" w:hRule="atLeast"/>
        </w:trPr>
        <w:tc>
          <w:tcPr>
            <w:tcW w:w="5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主管部门</w:t>
            </w:r>
          </w:p>
        </w:tc>
        <w:tc>
          <w:tcPr>
            <w:tcW w:w="6655"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中国共产党乌鲁木齐高新技术产业开发区（乌鲁木齐市新市区）委员会统一战线工作部</w:t>
            </w:r>
          </w:p>
        </w:tc>
        <w:tc>
          <w:tcPr>
            <w:tcW w:w="81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实施单位</w:t>
            </w:r>
          </w:p>
        </w:tc>
        <w:tc>
          <w:tcPr>
            <w:tcW w:w="1845" w:type="dxa"/>
            <w:gridSpan w:val="8"/>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中国共产党乌鲁木齐高新技术产业开发区（乌鲁木齐市新市区）委员会统一战线工作部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54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kern w:val="0"/>
                <w:sz w:val="24"/>
              </w:rPr>
            </w:pPr>
            <w:r>
              <w:rPr>
                <w:rFonts w:hint="eastAsia" w:ascii="宋体" w:hAnsi="宋体"/>
                <w:color w:val="000000"/>
                <w:kern w:val="0"/>
                <w:sz w:val="24"/>
              </w:rPr>
              <w:t>项目资金</w:t>
            </w:r>
          </w:p>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（万元）</w:t>
            </w:r>
          </w:p>
        </w:tc>
        <w:tc>
          <w:tcPr>
            <w:tcW w:w="21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59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年初预算数</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全年预算数</w:t>
            </w:r>
          </w:p>
        </w:tc>
        <w:tc>
          <w:tcPr>
            <w:tcW w:w="81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全年执行数</w:t>
            </w:r>
          </w:p>
        </w:tc>
        <w:tc>
          <w:tcPr>
            <w:tcW w:w="34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分值</w:t>
            </w:r>
          </w:p>
        </w:tc>
        <w:tc>
          <w:tcPr>
            <w:tcW w:w="87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执行率</w:t>
            </w:r>
          </w:p>
        </w:tc>
        <w:tc>
          <w:tcPr>
            <w:tcW w:w="6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 w:hRule="atLeast"/>
        </w:trPr>
        <w:tc>
          <w:tcPr>
            <w:tcW w:w="54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1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年度资金总额</w:t>
            </w:r>
          </w:p>
        </w:tc>
        <w:tc>
          <w:tcPr>
            <w:tcW w:w="259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359.40</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235.14</w:t>
            </w:r>
          </w:p>
        </w:tc>
        <w:tc>
          <w:tcPr>
            <w:tcW w:w="81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235.14</w:t>
            </w:r>
          </w:p>
        </w:tc>
        <w:tc>
          <w:tcPr>
            <w:tcW w:w="34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87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100.00%</w:t>
            </w:r>
          </w:p>
        </w:tc>
        <w:tc>
          <w:tcPr>
            <w:tcW w:w="6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54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1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其中：当年财政拨款</w:t>
            </w:r>
          </w:p>
        </w:tc>
        <w:tc>
          <w:tcPr>
            <w:tcW w:w="259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359.4</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235.14</w:t>
            </w:r>
          </w:p>
        </w:tc>
        <w:tc>
          <w:tcPr>
            <w:tcW w:w="81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235.14</w:t>
            </w:r>
          </w:p>
        </w:tc>
        <w:tc>
          <w:tcPr>
            <w:tcW w:w="34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c>
          <w:tcPr>
            <w:tcW w:w="87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c>
          <w:tcPr>
            <w:tcW w:w="6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54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1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 xml:space="preserve">      上年结转资金</w:t>
            </w:r>
          </w:p>
        </w:tc>
        <w:tc>
          <w:tcPr>
            <w:tcW w:w="259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w:t>
            </w:r>
          </w:p>
        </w:tc>
        <w:tc>
          <w:tcPr>
            <w:tcW w:w="81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w:t>
            </w:r>
          </w:p>
        </w:tc>
        <w:tc>
          <w:tcPr>
            <w:tcW w:w="34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c>
          <w:tcPr>
            <w:tcW w:w="87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c>
          <w:tcPr>
            <w:tcW w:w="6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54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1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 xml:space="preserve">  其他资金</w:t>
            </w:r>
          </w:p>
        </w:tc>
        <w:tc>
          <w:tcPr>
            <w:tcW w:w="259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w:t>
            </w:r>
          </w:p>
        </w:tc>
        <w:tc>
          <w:tcPr>
            <w:tcW w:w="81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w:t>
            </w:r>
          </w:p>
        </w:tc>
        <w:tc>
          <w:tcPr>
            <w:tcW w:w="34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c>
          <w:tcPr>
            <w:tcW w:w="87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c>
          <w:tcPr>
            <w:tcW w:w="63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27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年度总体目标</w:t>
            </w:r>
          </w:p>
        </w:tc>
        <w:tc>
          <w:tcPr>
            <w:tcW w:w="6925"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预期目标</w:t>
            </w:r>
          </w:p>
        </w:tc>
        <w:tc>
          <w:tcPr>
            <w:tcW w:w="2664" w:type="dxa"/>
            <w:gridSpan w:val="10"/>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19" w:hRule="atLeast"/>
        </w:trPr>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6925"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一是驻村管寺干部补贴参照“访惠聚”工作人员津贴补助标准，按照（乌党财纪字〔2016〕8号），具体为：0.12万元/人/月×150人×12月=216万元。二是根据《中共乌鲁木齐市委员会关于印发优化完善“民族团结一家亲”、民族团结联谊活动和驻村管寺工作实施方案的通知》《关于印发&lt;优化完善“民族团结一家亲”和民族团结联谊活动的工作方案&gt;&lt;优化完善驻村管寺工作的工作方案&gt;的通知》（乌高（新）党发〔2020〕5号）文件精神。</w:t>
            </w:r>
          </w:p>
        </w:tc>
        <w:tc>
          <w:tcPr>
            <w:tcW w:w="2664" w:type="dxa"/>
            <w:gridSpan w:val="10"/>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通过项目资金的发放，保障驻村管寺管委会的工作正常开展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2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270"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1860"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2590"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1065"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870" w:type="dxa"/>
            <w:tcBorders>
              <w:top w:val="single" w:color="000000" w:sz="4" w:space="0"/>
              <w:left w:val="nil"/>
              <w:bottom w:val="single" w:color="000000" w:sz="4" w:space="0"/>
              <w:right w:val="single" w:color="000000" w:sz="4" w:space="0"/>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750" w:type="dxa"/>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76" w:type="dxa"/>
            <w:gridSpan w:val="2"/>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314"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82" w:type="dxa"/>
            <w:gridSpan w:val="2"/>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563"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311" w:type="dxa"/>
            <w:gridSpan w:val="2"/>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568" w:type="dxa"/>
            <w:tcBorders>
              <w:top w:val="single" w:color="000000" w:sz="4" w:space="0"/>
              <w:left w:val="nil"/>
              <w:bottom w:val="single" w:color="000000" w:sz="4" w:space="0"/>
              <w:right w:val="single" w:color="000000" w:sz="4" w:space="0"/>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27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一级指标</w:t>
            </w:r>
          </w:p>
        </w:tc>
        <w:tc>
          <w:tcPr>
            <w:tcW w:w="27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二级指标</w:t>
            </w:r>
          </w:p>
        </w:tc>
        <w:tc>
          <w:tcPr>
            <w:tcW w:w="5515"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三级指标</w:t>
            </w:r>
          </w:p>
        </w:tc>
        <w:tc>
          <w:tcPr>
            <w:tcW w:w="87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年度指标值</w:t>
            </w:r>
          </w:p>
        </w:tc>
        <w:tc>
          <w:tcPr>
            <w:tcW w:w="75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实际完成值</w:t>
            </w:r>
          </w:p>
        </w:tc>
        <w:tc>
          <w:tcPr>
            <w:tcW w:w="390"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分值</w:t>
            </w:r>
          </w:p>
        </w:tc>
        <w:tc>
          <w:tcPr>
            <w:tcW w:w="645"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得分</w:t>
            </w:r>
          </w:p>
        </w:tc>
        <w:tc>
          <w:tcPr>
            <w:tcW w:w="879"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4" w:hRule="atLeast"/>
        </w:trPr>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5515"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9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645"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79"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7" w:hRule="atLeast"/>
        </w:trPr>
        <w:tc>
          <w:tcPr>
            <w:tcW w:w="27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年度绩效指标完成情况</w:t>
            </w:r>
          </w:p>
        </w:tc>
        <w:tc>
          <w:tcPr>
            <w:tcW w:w="27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产出指标</w:t>
            </w:r>
          </w:p>
        </w:tc>
        <w:tc>
          <w:tcPr>
            <w:tcW w:w="2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数量指标</w:t>
            </w:r>
          </w:p>
        </w:tc>
        <w:tc>
          <w:tcPr>
            <w:tcW w:w="551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发放（补助）人数（人次）</w:t>
            </w: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=150人</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150人</w:t>
            </w:r>
          </w:p>
        </w:tc>
        <w:tc>
          <w:tcPr>
            <w:tcW w:w="3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64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87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9" w:hRule="atLeast"/>
        </w:trPr>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数量指标</w:t>
            </w:r>
          </w:p>
        </w:tc>
        <w:tc>
          <w:tcPr>
            <w:tcW w:w="551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发放（补助）次数</w:t>
            </w: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=12次</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12次</w:t>
            </w:r>
          </w:p>
        </w:tc>
        <w:tc>
          <w:tcPr>
            <w:tcW w:w="3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64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87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9" w:hRule="atLeast"/>
        </w:trPr>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质量指标</w:t>
            </w:r>
          </w:p>
        </w:tc>
        <w:tc>
          <w:tcPr>
            <w:tcW w:w="551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工作完成合格率</w:t>
            </w: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3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64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87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9" w:hRule="atLeast"/>
        </w:trPr>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质量指标</w:t>
            </w:r>
          </w:p>
        </w:tc>
        <w:tc>
          <w:tcPr>
            <w:tcW w:w="551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资金拨率付</w:t>
            </w: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3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64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87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9" w:hRule="atLeast"/>
        </w:trPr>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时效指标</w:t>
            </w:r>
          </w:p>
        </w:tc>
        <w:tc>
          <w:tcPr>
            <w:tcW w:w="551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资金发放（补助）及时性</w:t>
            </w: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3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64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87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9" w:hRule="atLeast"/>
        </w:trPr>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时效指标</w:t>
            </w:r>
          </w:p>
        </w:tc>
        <w:tc>
          <w:tcPr>
            <w:tcW w:w="551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计划按期完成率</w:t>
            </w: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3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64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87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9" w:hRule="atLeast"/>
        </w:trPr>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成本指标</w:t>
            </w:r>
          </w:p>
        </w:tc>
        <w:tc>
          <w:tcPr>
            <w:tcW w:w="551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每次发放（补助）资金数</w:t>
            </w: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&lt;=29.95万元</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29.95万元</w:t>
            </w:r>
          </w:p>
        </w:tc>
        <w:tc>
          <w:tcPr>
            <w:tcW w:w="3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64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87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9" w:hRule="atLeast"/>
        </w:trPr>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成本指标</w:t>
            </w:r>
          </w:p>
        </w:tc>
        <w:tc>
          <w:tcPr>
            <w:tcW w:w="551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经费总额</w:t>
            </w: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&lt;=359.4万元</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235.14万元</w:t>
            </w:r>
          </w:p>
        </w:tc>
        <w:tc>
          <w:tcPr>
            <w:tcW w:w="3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64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3.27</w:t>
            </w:r>
          </w:p>
        </w:tc>
        <w:tc>
          <w:tcPr>
            <w:tcW w:w="87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由于疫情原因，影响资金支付进度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0" w:hRule="atLeast"/>
        </w:trPr>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效益指标</w:t>
            </w:r>
          </w:p>
        </w:tc>
        <w:tc>
          <w:tcPr>
            <w:tcW w:w="2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经济效益指标</w:t>
            </w:r>
          </w:p>
        </w:tc>
        <w:tc>
          <w:tcPr>
            <w:tcW w:w="551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color w:val="000000"/>
                <w:sz w:val="24"/>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64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7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0" w:hRule="atLeast"/>
        </w:trPr>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社会效益指标</w:t>
            </w:r>
          </w:p>
        </w:tc>
        <w:tc>
          <w:tcPr>
            <w:tcW w:w="551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充分发挥基层阵地作用，落实党的十九大精神和中央治疆方略，维护新疆社会稳定和长治久安的总目标。</w:t>
            </w: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有效</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有效</w:t>
            </w:r>
          </w:p>
        </w:tc>
        <w:tc>
          <w:tcPr>
            <w:tcW w:w="3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15</w:t>
            </w:r>
          </w:p>
        </w:tc>
        <w:tc>
          <w:tcPr>
            <w:tcW w:w="64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15</w:t>
            </w:r>
          </w:p>
        </w:tc>
        <w:tc>
          <w:tcPr>
            <w:tcW w:w="87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0" w:hRule="atLeast"/>
        </w:trPr>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生态效益指标</w:t>
            </w:r>
          </w:p>
        </w:tc>
        <w:tc>
          <w:tcPr>
            <w:tcW w:w="551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color w:val="000000"/>
                <w:sz w:val="24"/>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64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7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1" w:hRule="atLeast"/>
        </w:trPr>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可持续影响指标</w:t>
            </w:r>
          </w:p>
        </w:tc>
        <w:tc>
          <w:tcPr>
            <w:tcW w:w="551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项目持续影响年限</w:t>
            </w: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&gt;=1年</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1年</w:t>
            </w:r>
          </w:p>
        </w:tc>
        <w:tc>
          <w:tcPr>
            <w:tcW w:w="3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15</w:t>
            </w:r>
          </w:p>
        </w:tc>
        <w:tc>
          <w:tcPr>
            <w:tcW w:w="64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15</w:t>
            </w:r>
          </w:p>
        </w:tc>
        <w:tc>
          <w:tcPr>
            <w:tcW w:w="87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9" w:hRule="atLeast"/>
        </w:trPr>
        <w:tc>
          <w:tcPr>
            <w:tcW w:w="2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满意度指标</w:t>
            </w:r>
          </w:p>
        </w:tc>
        <w:tc>
          <w:tcPr>
            <w:tcW w:w="2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满意度指标</w:t>
            </w:r>
          </w:p>
        </w:tc>
        <w:tc>
          <w:tcPr>
            <w:tcW w:w="551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受益人员满意度</w:t>
            </w: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&gt;=95%</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95%</w:t>
            </w:r>
          </w:p>
        </w:tc>
        <w:tc>
          <w:tcPr>
            <w:tcW w:w="3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64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87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2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1860" w:type="dxa"/>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c>
          <w:tcPr>
            <w:tcW w:w="2590" w:type="dxa"/>
            <w:tcBorders>
              <w:top w:val="single" w:color="000000" w:sz="4" w:space="0"/>
              <w:left w:val="nil"/>
              <w:bottom w:val="single" w:color="000000" w:sz="4" w:space="0"/>
              <w:right w:val="nil"/>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c>
          <w:tcPr>
            <w:tcW w:w="1065" w:type="dxa"/>
            <w:tcBorders>
              <w:top w:val="single" w:color="000000" w:sz="4" w:space="0"/>
              <w:left w:val="nil"/>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76" w:type="dxa"/>
            <w:gridSpan w:val="2"/>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14" w:type="dxa"/>
            <w:tcBorders>
              <w:top w:val="single" w:color="000000" w:sz="4" w:space="0"/>
              <w:left w:val="nil"/>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2" w:type="dxa"/>
            <w:gridSpan w:val="2"/>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563" w:type="dxa"/>
            <w:tcBorders>
              <w:top w:val="single" w:color="000000" w:sz="4" w:space="0"/>
              <w:left w:val="nil"/>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7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9" w:hRule="atLeast"/>
        </w:trPr>
        <w:tc>
          <w:tcPr>
            <w:tcW w:w="7945" w:type="dxa"/>
            <w:gridSpan w:val="8"/>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总分</w:t>
            </w:r>
          </w:p>
        </w:tc>
        <w:tc>
          <w:tcPr>
            <w:tcW w:w="390"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64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98.27分</w:t>
            </w:r>
          </w:p>
        </w:tc>
        <w:tc>
          <w:tcPr>
            <w:tcW w:w="879"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r>
    </w:tbl>
    <w:p>
      <w:pPr>
        <w:spacing w:beforeLines="0" w:afterLines="0"/>
        <w:rPr>
          <w:rFonts w:hint="default" w:ascii="Times New Roman" w:hAnsi="Times New Roman" w:eastAsia="仿宋_GB2312"/>
          <w:b/>
          <w:color w:val="FF0000"/>
          <w:kern w:val="0"/>
          <w:sz w:val="36"/>
        </w:rPr>
      </w:pPr>
    </w:p>
    <w:p>
      <w:pPr>
        <w:widowControl/>
        <w:spacing w:beforeLines="0" w:afterLines="0"/>
        <w:jc w:val="center"/>
        <w:textAlignment w:val="center"/>
        <w:rPr>
          <w:rFonts w:hint="eastAsia" w:ascii="宋体" w:hAnsi="宋体"/>
          <w:b/>
          <w:color w:val="000000"/>
          <w:kern w:val="0"/>
          <w:sz w:val="32"/>
        </w:rPr>
      </w:pPr>
      <w:r>
        <w:rPr>
          <w:rFonts w:hint="eastAsia" w:ascii="宋体" w:hAnsi="宋体"/>
          <w:b/>
          <w:color w:val="000000"/>
          <w:kern w:val="0"/>
          <w:sz w:val="32"/>
        </w:rPr>
        <w:br w:type="page"/>
      </w:r>
    </w:p>
    <w:tbl>
      <w:tblPr>
        <w:tblStyle w:val="2"/>
        <w:tblW w:w="9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9"/>
        <w:gridCol w:w="289"/>
        <w:gridCol w:w="368"/>
        <w:gridCol w:w="1892"/>
        <w:gridCol w:w="2450"/>
        <w:gridCol w:w="1050"/>
        <w:gridCol w:w="750"/>
        <w:gridCol w:w="510"/>
        <w:gridCol w:w="250"/>
        <w:gridCol w:w="273"/>
        <w:gridCol w:w="235"/>
        <w:gridCol w:w="528"/>
        <w:gridCol w:w="346"/>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trPr>
        <w:tc>
          <w:tcPr>
            <w:tcW w:w="9860" w:type="dxa"/>
            <w:gridSpan w:val="14"/>
            <w:tcBorders>
              <w:top w:val="nil"/>
              <w:left w:val="nil"/>
              <w:bottom w:val="nil"/>
              <w:right w:val="nil"/>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b/>
                <w:color w:val="000000"/>
                <w:sz w:val="32"/>
              </w:rPr>
            </w:pPr>
            <w:r>
              <w:rPr>
                <w:rFonts w:hint="eastAsia" w:ascii="宋体" w:hAnsi="宋体"/>
                <w:b/>
                <w:color w:val="000000"/>
                <w:kern w:val="0"/>
                <w:sz w:val="32"/>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9860" w:type="dxa"/>
            <w:gridSpan w:val="14"/>
            <w:tcBorders>
              <w:top w:val="nil"/>
              <w:left w:val="nil"/>
              <w:bottom w:val="nil"/>
              <w:right w:val="nil"/>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0"/>
              </w:rPr>
            </w:pPr>
            <w:r>
              <w:rPr>
                <w:rFonts w:hint="eastAsia" w:ascii="宋体" w:hAnsi="宋体"/>
                <w:color w:val="000000"/>
                <w:kern w:val="0"/>
                <w:sz w:val="20"/>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57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项目名称</w:t>
            </w:r>
          </w:p>
        </w:tc>
        <w:tc>
          <w:tcPr>
            <w:tcW w:w="9282" w:type="dxa"/>
            <w:gridSpan w:val="1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乌财行【2020】93号-关于拨付宗教场所修缮经费的通知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2" w:hRule="atLeast"/>
        </w:trPr>
        <w:tc>
          <w:tcPr>
            <w:tcW w:w="57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主管部门</w:t>
            </w:r>
          </w:p>
        </w:tc>
        <w:tc>
          <w:tcPr>
            <w:tcW w:w="6510"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中国共产党乌鲁木齐高新技术产业开发区（乌鲁木齐市新市区）委员会统一战线工作部</w:t>
            </w:r>
          </w:p>
        </w:tc>
        <w:tc>
          <w:tcPr>
            <w:tcW w:w="76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实施单位</w:t>
            </w:r>
          </w:p>
        </w:tc>
        <w:tc>
          <w:tcPr>
            <w:tcW w:w="2012"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中国共产党乌鲁木齐高新技术产业开发区（乌鲁木齐市新市区）委员会统一战线工作部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8" w:hRule="atLeast"/>
        </w:trPr>
        <w:tc>
          <w:tcPr>
            <w:tcW w:w="578"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kern w:val="0"/>
                <w:sz w:val="24"/>
              </w:rPr>
            </w:pPr>
            <w:r>
              <w:rPr>
                <w:rFonts w:hint="eastAsia" w:ascii="宋体" w:hAnsi="宋体"/>
                <w:color w:val="000000"/>
                <w:kern w:val="0"/>
                <w:sz w:val="24"/>
              </w:rPr>
              <w:t>项目资金</w:t>
            </w:r>
          </w:p>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（万元）</w:t>
            </w:r>
          </w:p>
        </w:tc>
        <w:tc>
          <w:tcPr>
            <w:tcW w:w="226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4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年初预算数</w:t>
            </w:r>
          </w:p>
        </w:tc>
        <w:tc>
          <w:tcPr>
            <w:tcW w:w="18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全年预算数</w:t>
            </w:r>
          </w:p>
        </w:tc>
        <w:tc>
          <w:tcPr>
            <w:tcW w:w="76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全年执行数</w:t>
            </w:r>
          </w:p>
        </w:tc>
        <w:tc>
          <w:tcPr>
            <w:tcW w:w="50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分值</w:t>
            </w:r>
          </w:p>
        </w:tc>
        <w:tc>
          <w:tcPr>
            <w:tcW w:w="87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执行率</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57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26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年度资金总额</w:t>
            </w:r>
          </w:p>
        </w:tc>
        <w:tc>
          <w:tcPr>
            <w:tcW w:w="24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40.00</w:t>
            </w:r>
          </w:p>
        </w:tc>
        <w:tc>
          <w:tcPr>
            <w:tcW w:w="18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40.00</w:t>
            </w:r>
          </w:p>
        </w:tc>
        <w:tc>
          <w:tcPr>
            <w:tcW w:w="76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40.00</w:t>
            </w:r>
          </w:p>
        </w:tc>
        <w:tc>
          <w:tcPr>
            <w:tcW w:w="50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87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100.00%</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trPr>
        <w:tc>
          <w:tcPr>
            <w:tcW w:w="57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26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其中：当年财政拨款</w:t>
            </w:r>
          </w:p>
        </w:tc>
        <w:tc>
          <w:tcPr>
            <w:tcW w:w="24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40</w:t>
            </w:r>
          </w:p>
        </w:tc>
        <w:tc>
          <w:tcPr>
            <w:tcW w:w="18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40</w:t>
            </w:r>
          </w:p>
        </w:tc>
        <w:tc>
          <w:tcPr>
            <w:tcW w:w="76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40</w:t>
            </w:r>
          </w:p>
        </w:tc>
        <w:tc>
          <w:tcPr>
            <w:tcW w:w="50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c>
          <w:tcPr>
            <w:tcW w:w="87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trPr>
        <w:tc>
          <w:tcPr>
            <w:tcW w:w="57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26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 xml:space="preserve">      上年结转资金</w:t>
            </w:r>
          </w:p>
        </w:tc>
        <w:tc>
          <w:tcPr>
            <w:tcW w:w="24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w:t>
            </w:r>
          </w:p>
        </w:tc>
        <w:tc>
          <w:tcPr>
            <w:tcW w:w="18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w:t>
            </w:r>
          </w:p>
        </w:tc>
        <w:tc>
          <w:tcPr>
            <w:tcW w:w="76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w:t>
            </w:r>
          </w:p>
        </w:tc>
        <w:tc>
          <w:tcPr>
            <w:tcW w:w="50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c>
          <w:tcPr>
            <w:tcW w:w="87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trPr>
        <w:tc>
          <w:tcPr>
            <w:tcW w:w="57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26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 xml:space="preserve">  其他资金</w:t>
            </w:r>
          </w:p>
        </w:tc>
        <w:tc>
          <w:tcPr>
            <w:tcW w:w="24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w:t>
            </w:r>
          </w:p>
        </w:tc>
        <w:tc>
          <w:tcPr>
            <w:tcW w:w="18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w:t>
            </w:r>
          </w:p>
        </w:tc>
        <w:tc>
          <w:tcPr>
            <w:tcW w:w="76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w:t>
            </w:r>
          </w:p>
        </w:tc>
        <w:tc>
          <w:tcPr>
            <w:tcW w:w="50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c>
          <w:tcPr>
            <w:tcW w:w="87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trPr>
        <w:tc>
          <w:tcPr>
            <w:tcW w:w="289"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年度总体目标</w:t>
            </w:r>
          </w:p>
        </w:tc>
        <w:tc>
          <w:tcPr>
            <w:tcW w:w="6799"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预期目标</w:t>
            </w:r>
          </w:p>
        </w:tc>
        <w:tc>
          <w:tcPr>
            <w:tcW w:w="2772"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9" w:hRule="atLeast"/>
        </w:trPr>
        <w:tc>
          <w:tcPr>
            <w:tcW w:w="28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6799"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完成两座清真寺的彻底修理、修缮。满足“七进两有、九配备”中的必要设备的增设。要有水、有电、有天然气、有网络、有广播、有电视、有自己的文化书屋。</w:t>
            </w:r>
          </w:p>
        </w:tc>
        <w:tc>
          <w:tcPr>
            <w:tcW w:w="2772"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40万元修缮经费，分别用于小地窝堡清真寺和宣仁墩清真寺各20万元，当年全部完成。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trPr>
        <w:tc>
          <w:tcPr>
            <w:tcW w:w="28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89" w:type="dxa"/>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368"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1892"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2450"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1050"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750" w:type="dxa"/>
            <w:tcBorders>
              <w:top w:val="single" w:color="000000" w:sz="4" w:space="0"/>
              <w:left w:val="nil"/>
              <w:bottom w:val="single" w:color="000000" w:sz="4" w:space="0"/>
              <w:right w:val="single" w:color="000000" w:sz="4" w:space="0"/>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510" w:type="dxa"/>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250"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273"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235"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528"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346"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630" w:type="dxa"/>
            <w:tcBorders>
              <w:top w:val="single" w:color="000000" w:sz="4" w:space="0"/>
              <w:left w:val="nil"/>
              <w:bottom w:val="single" w:color="000000" w:sz="4" w:space="0"/>
              <w:right w:val="single" w:color="000000" w:sz="4" w:space="0"/>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trPr>
        <w:tc>
          <w:tcPr>
            <w:tcW w:w="289"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89"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一级指标</w:t>
            </w:r>
          </w:p>
        </w:tc>
        <w:tc>
          <w:tcPr>
            <w:tcW w:w="368"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二级指标</w:t>
            </w:r>
          </w:p>
        </w:tc>
        <w:tc>
          <w:tcPr>
            <w:tcW w:w="5392"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三级指标</w:t>
            </w:r>
          </w:p>
        </w:tc>
        <w:tc>
          <w:tcPr>
            <w:tcW w:w="75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年度指标值</w:t>
            </w:r>
          </w:p>
        </w:tc>
        <w:tc>
          <w:tcPr>
            <w:tcW w:w="51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实际完成值</w:t>
            </w:r>
          </w:p>
        </w:tc>
        <w:tc>
          <w:tcPr>
            <w:tcW w:w="523"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分值</w:t>
            </w:r>
          </w:p>
        </w:tc>
        <w:tc>
          <w:tcPr>
            <w:tcW w:w="763"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得分</w:t>
            </w:r>
          </w:p>
        </w:tc>
        <w:tc>
          <w:tcPr>
            <w:tcW w:w="97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8" w:hRule="atLeast"/>
        </w:trPr>
        <w:tc>
          <w:tcPr>
            <w:tcW w:w="28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8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68"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5392"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52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76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97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289"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年度绩效指标完成情况</w:t>
            </w:r>
          </w:p>
        </w:tc>
        <w:tc>
          <w:tcPr>
            <w:tcW w:w="289"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产出指标</w:t>
            </w:r>
          </w:p>
        </w:tc>
        <w:tc>
          <w:tcPr>
            <w:tcW w:w="36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数量指标</w:t>
            </w:r>
          </w:p>
        </w:tc>
        <w:tc>
          <w:tcPr>
            <w:tcW w:w="5392"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补贴清真寺个数</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=2个</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2个</w:t>
            </w:r>
          </w:p>
        </w:tc>
        <w:tc>
          <w:tcPr>
            <w:tcW w:w="5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8.18</w:t>
            </w:r>
          </w:p>
        </w:tc>
        <w:tc>
          <w:tcPr>
            <w:tcW w:w="76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8.18</w:t>
            </w:r>
          </w:p>
        </w:tc>
        <w:tc>
          <w:tcPr>
            <w:tcW w:w="97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28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8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6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数量指标</w:t>
            </w:r>
          </w:p>
        </w:tc>
        <w:tc>
          <w:tcPr>
            <w:tcW w:w="5392"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受益人数</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&gt;=80人</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80人</w:t>
            </w:r>
          </w:p>
        </w:tc>
        <w:tc>
          <w:tcPr>
            <w:tcW w:w="5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8.18</w:t>
            </w:r>
          </w:p>
        </w:tc>
        <w:tc>
          <w:tcPr>
            <w:tcW w:w="76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8.18</w:t>
            </w:r>
          </w:p>
        </w:tc>
        <w:tc>
          <w:tcPr>
            <w:tcW w:w="97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28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8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6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数量指标</w:t>
            </w:r>
          </w:p>
        </w:tc>
        <w:tc>
          <w:tcPr>
            <w:tcW w:w="5392"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工程面积</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&lt;=5800平方米</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5800平方米</w:t>
            </w:r>
          </w:p>
        </w:tc>
        <w:tc>
          <w:tcPr>
            <w:tcW w:w="5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8.18</w:t>
            </w:r>
          </w:p>
        </w:tc>
        <w:tc>
          <w:tcPr>
            <w:tcW w:w="76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8.18</w:t>
            </w:r>
          </w:p>
        </w:tc>
        <w:tc>
          <w:tcPr>
            <w:tcW w:w="97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28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8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6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质量指标</w:t>
            </w:r>
          </w:p>
        </w:tc>
        <w:tc>
          <w:tcPr>
            <w:tcW w:w="5392"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项目完成率</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5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8.18</w:t>
            </w:r>
          </w:p>
        </w:tc>
        <w:tc>
          <w:tcPr>
            <w:tcW w:w="76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8.18</w:t>
            </w:r>
          </w:p>
        </w:tc>
        <w:tc>
          <w:tcPr>
            <w:tcW w:w="97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28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8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6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时效指标</w:t>
            </w:r>
          </w:p>
        </w:tc>
        <w:tc>
          <w:tcPr>
            <w:tcW w:w="5392"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资金拨付及时性</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5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8.18</w:t>
            </w:r>
          </w:p>
        </w:tc>
        <w:tc>
          <w:tcPr>
            <w:tcW w:w="76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8.18</w:t>
            </w:r>
          </w:p>
        </w:tc>
        <w:tc>
          <w:tcPr>
            <w:tcW w:w="97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2" w:hRule="atLeast"/>
        </w:trPr>
        <w:tc>
          <w:tcPr>
            <w:tcW w:w="28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8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6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时效指标</w:t>
            </w:r>
          </w:p>
        </w:tc>
        <w:tc>
          <w:tcPr>
            <w:tcW w:w="5392"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项目完成时间</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2021年12月31日</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 xml:space="preserve"> 2021年12月31日</w:t>
            </w:r>
          </w:p>
        </w:tc>
        <w:tc>
          <w:tcPr>
            <w:tcW w:w="5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8.18</w:t>
            </w:r>
          </w:p>
        </w:tc>
        <w:tc>
          <w:tcPr>
            <w:tcW w:w="76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8.18</w:t>
            </w:r>
          </w:p>
        </w:tc>
        <w:tc>
          <w:tcPr>
            <w:tcW w:w="97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28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8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6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成本指标</w:t>
            </w:r>
          </w:p>
        </w:tc>
        <w:tc>
          <w:tcPr>
            <w:tcW w:w="5392"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补贴资金数</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=20万</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20万</w:t>
            </w:r>
          </w:p>
        </w:tc>
        <w:tc>
          <w:tcPr>
            <w:tcW w:w="5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8.18</w:t>
            </w:r>
          </w:p>
        </w:tc>
        <w:tc>
          <w:tcPr>
            <w:tcW w:w="76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8.18</w:t>
            </w:r>
          </w:p>
        </w:tc>
        <w:tc>
          <w:tcPr>
            <w:tcW w:w="97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28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8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6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成本指标</w:t>
            </w:r>
          </w:p>
        </w:tc>
        <w:tc>
          <w:tcPr>
            <w:tcW w:w="5392"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补贴资金总数</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=40万</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40万</w:t>
            </w:r>
          </w:p>
        </w:tc>
        <w:tc>
          <w:tcPr>
            <w:tcW w:w="5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8.18</w:t>
            </w:r>
          </w:p>
        </w:tc>
        <w:tc>
          <w:tcPr>
            <w:tcW w:w="76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8.18</w:t>
            </w:r>
          </w:p>
        </w:tc>
        <w:tc>
          <w:tcPr>
            <w:tcW w:w="97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7" w:hRule="atLeast"/>
        </w:trPr>
        <w:tc>
          <w:tcPr>
            <w:tcW w:w="28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89"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效益指标</w:t>
            </w:r>
          </w:p>
        </w:tc>
        <w:tc>
          <w:tcPr>
            <w:tcW w:w="36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经济效益指标</w:t>
            </w:r>
          </w:p>
        </w:tc>
        <w:tc>
          <w:tcPr>
            <w:tcW w:w="5392"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color w:val="000000"/>
                <w:sz w:val="24"/>
              </w:rPr>
            </w:pP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5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76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97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7" w:hRule="atLeast"/>
        </w:trPr>
        <w:tc>
          <w:tcPr>
            <w:tcW w:w="28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8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6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社会效益指标</w:t>
            </w:r>
          </w:p>
        </w:tc>
        <w:tc>
          <w:tcPr>
            <w:tcW w:w="5392"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完成了清真寺的修理修缮，为信教群众提供了必要的礼拜场所</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有效保障</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有效</w:t>
            </w:r>
          </w:p>
        </w:tc>
        <w:tc>
          <w:tcPr>
            <w:tcW w:w="5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8.19</w:t>
            </w:r>
          </w:p>
        </w:tc>
        <w:tc>
          <w:tcPr>
            <w:tcW w:w="76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8.19</w:t>
            </w:r>
          </w:p>
        </w:tc>
        <w:tc>
          <w:tcPr>
            <w:tcW w:w="97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7" w:hRule="atLeast"/>
        </w:trPr>
        <w:tc>
          <w:tcPr>
            <w:tcW w:w="28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8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6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生态效益指标</w:t>
            </w:r>
          </w:p>
        </w:tc>
        <w:tc>
          <w:tcPr>
            <w:tcW w:w="5392"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color w:val="000000"/>
                <w:sz w:val="24"/>
              </w:rPr>
            </w:pP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5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76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97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2" w:hRule="atLeast"/>
        </w:trPr>
        <w:tc>
          <w:tcPr>
            <w:tcW w:w="28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8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6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可持续影响指标</w:t>
            </w:r>
          </w:p>
        </w:tc>
        <w:tc>
          <w:tcPr>
            <w:tcW w:w="5392"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紧紧围绕社会稳定和长治久安总目标，持续满足群众需求</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&gt;=1年</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1年</w:t>
            </w:r>
          </w:p>
        </w:tc>
        <w:tc>
          <w:tcPr>
            <w:tcW w:w="5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8.18</w:t>
            </w:r>
          </w:p>
        </w:tc>
        <w:tc>
          <w:tcPr>
            <w:tcW w:w="76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8.18</w:t>
            </w:r>
          </w:p>
        </w:tc>
        <w:tc>
          <w:tcPr>
            <w:tcW w:w="97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2" w:hRule="atLeast"/>
        </w:trPr>
        <w:tc>
          <w:tcPr>
            <w:tcW w:w="28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8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满意度指标</w:t>
            </w:r>
          </w:p>
        </w:tc>
        <w:tc>
          <w:tcPr>
            <w:tcW w:w="36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满意度指标</w:t>
            </w:r>
          </w:p>
        </w:tc>
        <w:tc>
          <w:tcPr>
            <w:tcW w:w="5392"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收益人员满意度</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&gt;=95%</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95%</w:t>
            </w:r>
          </w:p>
        </w:tc>
        <w:tc>
          <w:tcPr>
            <w:tcW w:w="5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8.19</w:t>
            </w:r>
          </w:p>
        </w:tc>
        <w:tc>
          <w:tcPr>
            <w:tcW w:w="76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8.19</w:t>
            </w:r>
          </w:p>
        </w:tc>
        <w:tc>
          <w:tcPr>
            <w:tcW w:w="97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trPr>
        <w:tc>
          <w:tcPr>
            <w:tcW w:w="28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8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6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1892" w:type="dxa"/>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c>
          <w:tcPr>
            <w:tcW w:w="2450" w:type="dxa"/>
            <w:tcBorders>
              <w:top w:val="single" w:color="000000" w:sz="4" w:space="0"/>
              <w:left w:val="nil"/>
              <w:bottom w:val="single" w:color="000000" w:sz="4" w:space="0"/>
              <w:right w:val="nil"/>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c>
          <w:tcPr>
            <w:tcW w:w="1050" w:type="dxa"/>
            <w:tcBorders>
              <w:top w:val="single" w:color="000000" w:sz="4" w:space="0"/>
              <w:left w:val="nil"/>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50" w:type="dxa"/>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73" w:type="dxa"/>
            <w:tcBorders>
              <w:top w:val="single" w:color="000000" w:sz="4" w:space="0"/>
              <w:left w:val="nil"/>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35" w:type="dxa"/>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528" w:type="dxa"/>
            <w:tcBorders>
              <w:top w:val="single" w:color="000000" w:sz="4" w:space="0"/>
              <w:left w:val="nil"/>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4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7598" w:type="dxa"/>
            <w:gridSpan w:val="8"/>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总分</w:t>
            </w:r>
          </w:p>
        </w:tc>
        <w:tc>
          <w:tcPr>
            <w:tcW w:w="5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76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100.00分</w:t>
            </w:r>
          </w:p>
        </w:tc>
        <w:tc>
          <w:tcPr>
            <w:tcW w:w="97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r>
    </w:tbl>
    <w:p>
      <w:pPr>
        <w:spacing w:beforeLines="0" w:afterLines="0"/>
        <w:rPr>
          <w:rFonts w:hint="default" w:ascii="Times New Roman" w:hAnsi="Times New Roman" w:eastAsia="仿宋_GB2312"/>
          <w:b/>
          <w:color w:val="FF0000"/>
          <w:kern w:val="0"/>
          <w:sz w:val="36"/>
        </w:rPr>
      </w:pPr>
    </w:p>
    <w:p>
      <w:pPr>
        <w:widowControl/>
        <w:spacing w:beforeLines="0" w:afterLines="0"/>
        <w:jc w:val="center"/>
        <w:textAlignment w:val="center"/>
        <w:rPr>
          <w:rFonts w:hint="eastAsia" w:ascii="宋体" w:hAnsi="宋体"/>
          <w:b/>
          <w:color w:val="000000"/>
          <w:kern w:val="0"/>
          <w:sz w:val="32"/>
        </w:rPr>
      </w:pPr>
      <w:r>
        <w:rPr>
          <w:rFonts w:hint="eastAsia" w:ascii="宋体" w:hAnsi="宋体"/>
          <w:b/>
          <w:color w:val="000000"/>
          <w:kern w:val="0"/>
          <w:sz w:val="32"/>
        </w:rPr>
        <w:br w:type="page"/>
      </w:r>
    </w:p>
    <w:tbl>
      <w:tblPr>
        <w:tblStyle w:val="2"/>
        <w:tblW w:w="9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9"/>
        <w:gridCol w:w="309"/>
        <w:gridCol w:w="393"/>
        <w:gridCol w:w="1863"/>
        <w:gridCol w:w="2460"/>
        <w:gridCol w:w="1069"/>
        <w:gridCol w:w="750"/>
        <w:gridCol w:w="510"/>
        <w:gridCol w:w="200"/>
        <w:gridCol w:w="241"/>
        <w:gridCol w:w="249"/>
        <w:gridCol w:w="526"/>
        <w:gridCol w:w="351"/>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trPr>
        <w:tc>
          <w:tcPr>
            <w:tcW w:w="9860" w:type="dxa"/>
            <w:gridSpan w:val="14"/>
            <w:tcBorders>
              <w:top w:val="nil"/>
              <w:left w:val="nil"/>
              <w:bottom w:val="nil"/>
              <w:right w:val="nil"/>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b/>
                <w:color w:val="000000"/>
                <w:sz w:val="32"/>
              </w:rPr>
            </w:pPr>
            <w:r>
              <w:rPr>
                <w:rFonts w:hint="eastAsia" w:ascii="宋体" w:hAnsi="宋体"/>
                <w:b/>
                <w:color w:val="000000"/>
                <w:kern w:val="0"/>
                <w:sz w:val="32"/>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9860" w:type="dxa"/>
            <w:gridSpan w:val="14"/>
            <w:tcBorders>
              <w:top w:val="nil"/>
              <w:left w:val="nil"/>
              <w:bottom w:val="nil"/>
              <w:right w:val="nil"/>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0"/>
              </w:rPr>
            </w:pPr>
            <w:r>
              <w:rPr>
                <w:rFonts w:hint="eastAsia" w:ascii="宋体" w:hAnsi="宋体"/>
                <w:color w:val="000000"/>
                <w:kern w:val="0"/>
                <w:sz w:val="20"/>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2" w:hRule="atLeast"/>
        </w:trPr>
        <w:tc>
          <w:tcPr>
            <w:tcW w:w="61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项目名称</w:t>
            </w:r>
          </w:p>
        </w:tc>
        <w:tc>
          <w:tcPr>
            <w:tcW w:w="9242" w:type="dxa"/>
            <w:gridSpan w:val="1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慰问爱国宗教人士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7" w:hRule="atLeast"/>
        </w:trPr>
        <w:tc>
          <w:tcPr>
            <w:tcW w:w="61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主管部门</w:t>
            </w:r>
          </w:p>
        </w:tc>
        <w:tc>
          <w:tcPr>
            <w:tcW w:w="6535"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中国共产党乌鲁木齐高新技术产业开发区（乌鲁木齐市新市区）委员会统一战线工作部</w:t>
            </w:r>
          </w:p>
        </w:tc>
        <w:tc>
          <w:tcPr>
            <w:tcW w:w="7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实施单位</w:t>
            </w:r>
          </w:p>
        </w:tc>
        <w:tc>
          <w:tcPr>
            <w:tcW w:w="1997"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中国共产党乌鲁木齐高新技术产业开发区（乌鲁木齐市新市区）委员会统一战线工作部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6" w:hRule="atLeast"/>
        </w:trPr>
        <w:tc>
          <w:tcPr>
            <w:tcW w:w="618"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kern w:val="0"/>
                <w:sz w:val="24"/>
              </w:rPr>
            </w:pPr>
            <w:r>
              <w:rPr>
                <w:rFonts w:hint="eastAsia" w:ascii="宋体" w:hAnsi="宋体"/>
                <w:color w:val="000000"/>
                <w:kern w:val="0"/>
                <w:sz w:val="24"/>
              </w:rPr>
              <w:t>项目资金</w:t>
            </w:r>
          </w:p>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（万元）</w:t>
            </w:r>
          </w:p>
        </w:tc>
        <w:tc>
          <w:tcPr>
            <w:tcW w:w="225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46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年初预算数</w:t>
            </w:r>
          </w:p>
        </w:tc>
        <w:tc>
          <w:tcPr>
            <w:tcW w:w="181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全年预算数</w:t>
            </w:r>
          </w:p>
        </w:tc>
        <w:tc>
          <w:tcPr>
            <w:tcW w:w="7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全年执行数</w:t>
            </w:r>
          </w:p>
        </w:tc>
        <w:tc>
          <w:tcPr>
            <w:tcW w:w="4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分值</w:t>
            </w:r>
          </w:p>
        </w:tc>
        <w:tc>
          <w:tcPr>
            <w:tcW w:w="87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执行率</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2" w:hRule="atLeast"/>
        </w:trPr>
        <w:tc>
          <w:tcPr>
            <w:tcW w:w="61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25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年度资金总额</w:t>
            </w:r>
          </w:p>
        </w:tc>
        <w:tc>
          <w:tcPr>
            <w:tcW w:w="246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31.50</w:t>
            </w:r>
          </w:p>
        </w:tc>
        <w:tc>
          <w:tcPr>
            <w:tcW w:w="181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31.50</w:t>
            </w:r>
          </w:p>
        </w:tc>
        <w:tc>
          <w:tcPr>
            <w:tcW w:w="7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31.50</w:t>
            </w:r>
          </w:p>
        </w:tc>
        <w:tc>
          <w:tcPr>
            <w:tcW w:w="4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87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100.00%</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trPr>
        <w:tc>
          <w:tcPr>
            <w:tcW w:w="61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25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其中：当年财政拨款</w:t>
            </w:r>
          </w:p>
        </w:tc>
        <w:tc>
          <w:tcPr>
            <w:tcW w:w="246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31.5</w:t>
            </w:r>
          </w:p>
        </w:tc>
        <w:tc>
          <w:tcPr>
            <w:tcW w:w="181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31.5</w:t>
            </w:r>
          </w:p>
        </w:tc>
        <w:tc>
          <w:tcPr>
            <w:tcW w:w="7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31.5</w:t>
            </w:r>
          </w:p>
        </w:tc>
        <w:tc>
          <w:tcPr>
            <w:tcW w:w="4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c>
          <w:tcPr>
            <w:tcW w:w="87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trPr>
        <w:tc>
          <w:tcPr>
            <w:tcW w:w="61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25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 xml:space="preserve">      上年结转资金</w:t>
            </w:r>
          </w:p>
        </w:tc>
        <w:tc>
          <w:tcPr>
            <w:tcW w:w="246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w:t>
            </w:r>
          </w:p>
        </w:tc>
        <w:tc>
          <w:tcPr>
            <w:tcW w:w="181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w:t>
            </w:r>
          </w:p>
        </w:tc>
        <w:tc>
          <w:tcPr>
            <w:tcW w:w="7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w:t>
            </w:r>
          </w:p>
        </w:tc>
        <w:tc>
          <w:tcPr>
            <w:tcW w:w="4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c>
          <w:tcPr>
            <w:tcW w:w="87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trPr>
        <w:tc>
          <w:tcPr>
            <w:tcW w:w="61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25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 xml:space="preserve">  其他资金</w:t>
            </w:r>
          </w:p>
        </w:tc>
        <w:tc>
          <w:tcPr>
            <w:tcW w:w="246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w:t>
            </w:r>
          </w:p>
        </w:tc>
        <w:tc>
          <w:tcPr>
            <w:tcW w:w="181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w:t>
            </w:r>
          </w:p>
        </w:tc>
        <w:tc>
          <w:tcPr>
            <w:tcW w:w="7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w:t>
            </w:r>
          </w:p>
        </w:tc>
        <w:tc>
          <w:tcPr>
            <w:tcW w:w="4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c>
          <w:tcPr>
            <w:tcW w:w="87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trPr>
        <w:tc>
          <w:tcPr>
            <w:tcW w:w="309"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年度总体目标</w:t>
            </w:r>
          </w:p>
        </w:tc>
        <w:tc>
          <w:tcPr>
            <w:tcW w:w="6844"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预期目标</w:t>
            </w:r>
          </w:p>
        </w:tc>
        <w:tc>
          <w:tcPr>
            <w:tcW w:w="2707"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4" w:hRule="atLeast"/>
        </w:trPr>
        <w:tc>
          <w:tcPr>
            <w:tcW w:w="30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6844"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完成今年的宗教人士、新的社会阶层人士、侨联委员（代表）等相关人士在斋月、肉孜节、古尔邦节等节点的慰问发放，63人*0.5万元=31.5万元</w:t>
            </w:r>
          </w:p>
        </w:tc>
        <w:tc>
          <w:tcPr>
            <w:tcW w:w="2707"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该项目全年项目经费共计31.5万元，慰问活动分两次拨付完成，项目指标任务已全部完成31.5万元。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trPr>
        <w:tc>
          <w:tcPr>
            <w:tcW w:w="30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09" w:type="dxa"/>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393"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1863"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2460"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1069"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750" w:type="dxa"/>
            <w:tcBorders>
              <w:top w:val="single" w:color="000000" w:sz="4" w:space="0"/>
              <w:left w:val="nil"/>
              <w:bottom w:val="single" w:color="000000" w:sz="4" w:space="0"/>
              <w:right w:val="single" w:color="000000" w:sz="4" w:space="0"/>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510" w:type="dxa"/>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200"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241"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249"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526"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351"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630" w:type="dxa"/>
            <w:tcBorders>
              <w:top w:val="single" w:color="000000" w:sz="4" w:space="0"/>
              <w:left w:val="nil"/>
              <w:bottom w:val="single" w:color="000000" w:sz="4" w:space="0"/>
              <w:right w:val="single" w:color="000000" w:sz="4" w:space="0"/>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trPr>
        <w:tc>
          <w:tcPr>
            <w:tcW w:w="309"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09"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一级指标</w:t>
            </w:r>
          </w:p>
        </w:tc>
        <w:tc>
          <w:tcPr>
            <w:tcW w:w="393"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二级指标</w:t>
            </w:r>
          </w:p>
        </w:tc>
        <w:tc>
          <w:tcPr>
            <w:tcW w:w="5392"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三级指标</w:t>
            </w:r>
          </w:p>
        </w:tc>
        <w:tc>
          <w:tcPr>
            <w:tcW w:w="75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年度指标值</w:t>
            </w:r>
          </w:p>
        </w:tc>
        <w:tc>
          <w:tcPr>
            <w:tcW w:w="51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实际完成值</w:t>
            </w:r>
          </w:p>
        </w:tc>
        <w:tc>
          <w:tcPr>
            <w:tcW w:w="441"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分值</w:t>
            </w:r>
          </w:p>
        </w:tc>
        <w:tc>
          <w:tcPr>
            <w:tcW w:w="77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得分</w:t>
            </w:r>
          </w:p>
        </w:tc>
        <w:tc>
          <w:tcPr>
            <w:tcW w:w="981"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30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0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93"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5392"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51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44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77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98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7" w:hRule="atLeast"/>
        </w:trPr>
        <w:tc>
          <w:tcPr>
            <w:tcW w:w="309"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年度绩效指标完成情况</w:t>
            </w:r>
          </w:p>
        </w:tc>
        <w:tc>
          <w:tcPr>
            <w:tcW w:w="309"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产出指标</w:t>
            </w:r>
          </w:p>
        </w:tc>
        <w:tc>
          <w:tcPr>
            <w:tcW w:w="3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数量指标</w:t>
            </w:r>
          </w:p>
        </w:tc>
        <w:tc>
          <w:tcPr>
            <w:tcW w:w="5392"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发放（补助）人数（人次）</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&gt;=64人</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64人</w:t>
            </w:r>
          </w:p>
        </w:tc>
        <w:tc>
          <w:tcPr>
            <w:tcW w:w="44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7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98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7" w:hRule="atLeast"/>
        </w:trPr>
        <w:tc>
          <w:tcPr>
            <w:tcW w:w="30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0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数量指标</w:t>
            </w:r>
          </w:p>
        </w:tc>
        <w:tc>
          <w:tcPr>
            <w:tcW w:w="5392"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发放（补助）次数</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=1次</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1次</w:t>
            </w:r>
          </w:p>
        </w:tc>
        <w:tc>
          <w:tcPr>
            <w:tcW w:w="44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7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98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7" w:hRule="atLeast"/>
        </w:trPr>
        <w:tc>
          <w:tcPr>
            <w:tcW w:w="30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0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质量指标</w:t>
            </w:r>
          </w:p>
        </w:tc>
        <w:tc>
          <w:tcPr>
            <w:tcW w:w="5392"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经费保障率</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44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7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98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7" w:hRule="atLeast"/>
        </w:trPr>
        <w:tc>
          <w:tcPr>
            <w:tcW w:w="30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0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质量指标</w:t>
            </w:r>
          </w:p>
        </w:tc>
        <w:tc>
          <w:tcPr>
            <w:tcW w:w="5392"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项目（工作）完成合格率</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44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7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98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7" w:hRule="atLeast"/>
        </w:trPr>
        <w:tc>
          <w:tcPr>
            <w:tcW w:w="30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0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时效指标</w:t>
            </w:r>
          </w:p>
        </w:tc>
        <w:tc>
          <w:tcPr>
            <w:tcW w:w="5392"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资金发放（补助）及时性</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44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7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98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7" w:hRule="atLeast"/>
        </w:trPr>
        <w:tc>
          <w:tcPr>
            <w:tcW w:w="30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0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时效指标</w:t>
            </w:r>
          </w:p>
        </w:tc>
        <w:tc>
          <w:tcPr>
            <w:tcW w:w="5392"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项目完成时间</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2021年12月</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 xml:space="preserve"> 2021年12月</w:t>
            </w:r>
          </w:p>
        </w:tc>
        <w:tc>
          <w:tcPr>
            <w:tcW w:w="44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7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98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7" w:hRule="atLeast"/>
        </w:trPr>
        <w:tc>
          <w:tcPr>
            <w:tcW w:w="30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0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成本指标</w:t>
            </w:r>
          </w:p>
        </w:tc>
        <w:tc>
          <w:tcPr>
            <w:tcW w:w="5392"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每次发放（补助）资金数</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&lt;=31.5万元</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31.5万元</w:t>
            </w:r>
          </w:p>
        </w:tc>
        <w:tc>
          <w:tcPr>
            <w:tcW w:w="44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7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98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7" w:hRule="atLeast"/>
        </w:trPr>
        <w:tc>
          <w:tcPr>
            <w:tcW w:w="30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0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成本指标</w:t>
            </w:r>
          </w:p>
        </w:tc>
        <w:tc>
          <w:tcPr>
            <w:tcW w:w="5392"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发放资金总数</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&lt;=31.5万元</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31.5万元</w:t>
            </w:r>
          </w:p>
        </w:tc>
        <w:tc>
          <w:tcPr>
            <w:tcW w:w="44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7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98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87" w:hRule="atLeast"/>
        </w:trPr>
        <w:tc>
          <w:tcPr>
            <w:tcW w:w="30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09"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效益指标</w:t>
            </w:r>
          </w:p>
        </w:tc>
        <w:tc>
          <w:tcPr>
            <w:tcW w:w="3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经济效益指标</w:t>
            </w:r>
          </w:p>
        </w:tc>
        <w:tc>
          <w:tcPr>
            <w:tcW w:w="5392"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color w:val="000000"/>
                <w:sz w:val="24"/>
              </w:rPr>
            </w:pP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44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7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98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87" w:hRule="atLeast"/>
        </w:trPr>
        <w:tc>
          <w:tcPr>
            <w:tcW w:w="30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0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社会效益指标</w:t>
            </w:r>
          </w:p>
        </w:tc>
        <w:tc>
          <w:tcPr>
            <w:tcW w:w="5392"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培养造就高素质人才队伍，推动社会发展，加强能力建设</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有效保障</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 xml:space="preserve"> 有效保障</w:t>
            </w:r>
          </w:p>
        </w:tc>
        <w:tc>
          <w:tcPr>
            <w:tcW w:w="44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15</w:t>
            </w:r>
          </w:p>
        </w:tc>
        <w:tc>
          <w:tcPr>
            <w:tcW w:w="7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15</w:t>
            </w:r>
          </w:p>
        </w:tc>
        <w:tc>
          <w:tcPr>
            <w:tcW w:w="98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0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0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生态效益指标</w:t>
            </w:r>
          </w:p>
        </w:tc>
        <w:tc>
          <w:tcPr>
            <w:tcW w:w="5392"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color w:val="000000"/>
                <w:sz w:val="24"/>
              </w:rPr>
            </w:pP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44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7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98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97" w:hRule="atLeast"/>
        </w:trPr>
        <w:tc>
          <w:tcPr>
            <w:tcW w:w="30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0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可持续影响指标</w:t>
            </w:r>
          </w:p>
        </w:tc>
        <w:tc>
          <w:tcPr>
            <w:tcW w:w="5392"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紧紧围绕社会稳定和长治久安的总目标，持续满足群众需求。</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&gt;=1年</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1年</w:t>
            </w:r>
          </w:p>
        </w:tc>
        <w:tc>
          <w:tcPr>
            <w:tcW w:w="44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15</w:t>
            </w:r>
          </w:p>
        </w:tc>
        <w:tc>
          <w:tcPr>
            <w:tcW w:w="7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15</w:t>
            </w:r>
          </w:p>
        </w:tc>
        <w:tc>
          <w:tcPr>
            <w:tcW w:w="98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7" w:hRule="atLeast"/>
        </w:trPr>
        <w:tc>
          <w:tcPr>
            <w:tcW w:w="30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0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满意度指标</w:t>
            </w:r>
          </w:p>
        </w:tc>
        <w:tc>
          <w:tcPr>
            <w:tcW w:w="3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满意度指标</w:t>
            </w:r>
          </w:p>
        </w:tc>
        <w:tc>
          <w:tcPr>
            <w:tcW w:w="5392"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受益人员满意度</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&gt;=95%</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95%</w:t>
            </w:r>
          </w:p>
        </w:tc>
        <w:tc>
          <w:tcPr>
            <w:tcW w:w="44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7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98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trPr>
        <w:tc>
          <w:tcPr>
            <w:tcW w:w="30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0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9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1863" w:type="dxa"/>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c>
          <w:tcPr>
            <w:tcW w:w="2460" w:type="dxa"/>
            <w:tcBorders>
              <w:top w:val="single" w:color="000000" w:sz="4" w:space="0"/>
              <w:left w:val="nil"/>
              <w:bottom w:val="single" w:color="000000" w:sz="4" w:space="0"/>
              <w:right w:val="nil"/>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c>
          <w:tcPr>
            <w:tcW w:w="1069" w:type="dxa"/>
            <w:tcBorders>
              <w:top w:val="single" w:color="000000" w:sz="4" w:space="0"/>
              <w:left w:val="nil"/>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00" w:type="dxa"/>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41" w:type="dxa"/>
            <w:tcBorders>
              <w:top w:val="single" w:color="000000" w:sz="4" w:space="0"/>
              <w:left w:val="nil"/>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49" w:type="dxa"/>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526" w:type="dxa"/>
            <w:tcBorders>
              <w:top w:val="single" w:color="000000" w:sz="4" w:space="0"/>
              <w:left w:val="nil"/>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35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1" w:hRule="atLeast"/>
        </w:trPr>
        <w:tc>
          <w:tcPr>
            <w:tcW w:w="7663" w:type="dxa"/>
            <w:gridSpan w:val="8"/>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总分</w:t>
            </w:r>
          </w:p>
        </w:tc>
        <w:tc>
          <w:tcPr>
            <w:tcW w:w="44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77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100.00分</w:t>
            </w:r>
          </w:p>
        </w:tc>
        <w:tc>
          <w:tcPr>
            <w:tcW w:w="98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r>
    </w:tbl>
    <w:p>
      <w:pPr>
        <w:shd w:val="clear" w:color="auto" w:fill="FFFFFF"/>
        <w:autoSpaceDE w:val="0"/>
        <w:autoSpaceDN w:val="0"/>
        <w:adjustRightInd w:val="0"/>
        <w:spacing w:before="100" w:beforeLines="0" w:afterLines="0" w:line="520" w:lineRule="exact"/>
        <w:ind w:left="118" w:firstLine="480"/>
        <w:rPr>
          <w:rFonts w:hint="default" w:ascii="Times New Roman" w:hAnsi="Times New Roman" w:eastAsia="仿宋_GB2312"/>
          <w:kern w:val="0"/>
          <w:sz w:val="24"/>
          <w:highlight w:val="white"/>
        </w:rPr>
      </w:pPr>
    </w:p>
    <w:p>
      <w:pPr>
        <w:widowControl/>
        <w:spacing w:beforeLines="0" w:afterLines="0"/>
        <w:jc w:val="center"/>
        <w:textAlignment w:val="center"/>
        <w:rPr>
          <w:rFonts w:hint="eastAsia" w:ascii="宋体" w:hAnsi="宋体"/>
          <w:b/>
          <w:color w:val="000000"/>
          <w:kern w:val="0"/>
          <w:sz w:val="32"/>
        </w:rPr>
      </w:pPr>
      <w:r>
        <w:rPr>
          <w:rFonts w:hint="eastAsia" w:ascii="宋体" w:hAnsi="宋体"/>
          <w:b/>
          <w:color w:val="000000"/>
          <w:kern w:val="0"/>
          <w:sz w:val="32"/>
        </w:rPr>
        <w:br w:type="page"/>
      </w:r>
    </w:p>
    <w:tbl>
      <w:tblPr>
        <w:tblStyle w:val="2"/>
        <w:tblW w:w="9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8"/>
        <w:gridCol w:w="839"/>
        <w:gridCol w:w="850"/>
        <w:gridCol w:w="964"/>
        <w:gridCol w:w="899"/>
        <w:gridCol w:w="542"/>
        <w:gridCol w:w="637"/>
        <w:gridCol w:w="516"/>
        <w:gridCol w:w="525"/>
        <w:gridCol w:w="611"/>
        <w:gridCol w:w="681"/>
        <w:gridCol w:w="506"/>
        <w:gridCol w:w="563"/>
        <w:gridCol w:w="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9840" w:type="dxa"/>
            <w:gridSpan w:val="14"/>
            <w:tcBorders>
              <w:top w:val="nil"/>
              <w:left w:val="nil"/>
              <w:bottom w:val="nil"/>
              <w:right w:val="nil"/>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b/>
                <w:color w:val="000000"/>
                <w:sz w:val="32"/>
              </w:rPr>
            </w:pPr>
            <w:r>
              <w:rPr>
                <w:rFonts w:hint="eastAsia" w:ascii="宋体" w:hAnsi="宋体"/>
                <w:b/>
                <w:color w:val="000000"/>
                <w:kern w:val="0"/>
                <w:sz w:val="32"/>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7" w:hRule="atLeast"/>
        </w:trPr>
        <w:tc>
          <w:tcPr>
            <w:tcW w:w="9840" w:type="dxa"/>
            <w:gridSpan w:val="14"/>
            <w:tcBorders>
              <w:top w:val="nil"/>
              <w:left w:val="nil"/>
              <w:bottom w:val="nil"/>
              <w:right w:val="nil"/>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0"/>
              </w:rPr>
            </w:pPr>
            <w:r>
              <w:rPr>
                <w:rFonts w:hint="eastAsia" w:ascii="宋体" w:hAnsi="宋体"/>
                <w:color w:val="000000"/>
                <w:kern w:val="0"/>
                <w:sz w:val="20"/>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67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项目名称</w:t>
            </w:r>
          </w:p>
        </w:tc>
        <w:tc>
          <w:tcPr>
            <w:tcW w:w="8163" w:type="dxa"/>
            <w:gridSpan w:val="1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“访惠聚”第一书记及为民办实事经费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0" w:hRule="atLeast"/>
        </w:trPr>
        <w:tc>
          <w:tcPr>
            <w:tcW w:w="167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主管部门</w:t>
            </w:r>
          </w:p>
        </w:tc>
        <w:tc>
          <w:tcPr>
            <w:tcW w:w="3892"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中国共产党乌鲁木齐高新技术产业开发区（乌鲁木齐市新市区）委员会统一战线工作部</w:t>
            </w:r>
          </w:p>
        </w:tc>
        <w:tc>
          <w:tcPr>
            <w:tcW w:w="104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实施单位</w:t>
            </w:r>
          </w:p>
        </w:tc>
        <w:tc>
          <w:tcPr>
            <w:tcW w:w="3230"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中国共产党乌鲁木齐高新技术产业开发区（乌鲁木齐市新市区）委员会统一战线工作部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1677"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kern w:val="0"/>
                <w:sz w:val="24"/>
              </w:rPr>
            </w:pPr>
            <w:r>
              <w:rPr>
                <w:rFonts w:hint="eastAsia" w:ascii="宋体" w:hAnsi="宋体"/>
                <w:color w:val="000000"/>
                <w:kern w:val="0"/>
                <w:sz w:val="24"/>
              </w:rPr>
              <w:t>项目资金</w:t>
            </w:r>
          </w:p>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（万元）</w:t>
            </w:r>
          </w:p>
        </w:tc>
        <w:tc>
          <w:tcPr>
            <w:tcW w:w="181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9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年初预算数</w:t>
            </w:r>
          </w:p>
        </w:tc>
        <w:tc>
          <w:tcPr>
            <w:tcW w:w="117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全年预算数</w:t>
            </w:r>
          </w:p>
        </w:tc>
        <w:tc>
          <w:tcPr>
            <w:tcW w:w="104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全年执行数</w:t>
            </w:r>
          </w:p>
        </w:tc>
        <w:tc>
          <w:tcPr>
            <w:tcW w:w="129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分值</w:t>
            </w:r>
          </w:p>
        </w:tc>
        <w:tc>
          <w:tcPr>
            <w:tcW w:w="106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执行率</w:t>
            </w:r>
          </w:p>
        </w:tc>
        <w:tc>
          <w:tcPr>
            <w:tcW w:w="86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167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181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年度资金总额</w:t>
            </w:r>
          </w:p>
        </w:tc>
        <w:tc>
          <w:tcPr>
            <w:tcW w:w="89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17.00</w:t>
            </w:r>
          </w:p>
        </w:tc>
        <w:tc>
          <w:tcPr>
            <w:tcW w:w="117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0.16</w:t>
            </w:r>
          </w:p>
        </w:tc>
        <w:tc>
          <w:tcPr>
            <w:tcW w:w="104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0.16</w:t>
            </w:r>
          </w:p>
        </w:tc>
        <w:tc>
          <w:tcPr>
            <w:tcW w:w="129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106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100.00%</w:t>
            </w:r>
          </w:p>
        </w:tc>
        <w:tc>
          <w:tcPr>
            <w:tcW w:w="86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167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181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其中：当年财政拨款</w:t>
            </w:r>
          </w:p>
        </w:tc>
        <w:tc>
          <w:tcPr>
            <w:tcW w:w="89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17</w:t>
            </w:r>
          </w:p>
        </w:tc>
        <w:tc>
          <w:tcPr>
            <w:tcW w:w="117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0.16</w:t>
            </w:r>
          </w:p>
        </w:tc>
        <w:tc>
          <w:tcPr>
            <w:tcW w:w="104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0.16</w:t>
            </w:r>
          </w:p>
        </w:tc>
        <w:tc>
          <w:tcPr>
            <w:tcW w:w="129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c>
          <w:tcPr>
            <w:tcW w:w="106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c>
          <w:tcPr>
            <w:tcW w:w="86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167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181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 xml:space="preserve">      上年结转资金</w:t>
            </w:r>
          </w:p>
        </w:tc>
        <w:tc>
          <w:tcPr>
            <w:tcW w:w="89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w:t>
            </w:r>
          </w:p>
        </w:tc>
        <w:tc>
          <w:tcPr>
            <w:tcW w:w="117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w:t>
            </w:r>
          </w:p>
        </w:tc>
        <w:tc>
          <w:tcPr>
            <w:tcW w:w="104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w:t>
            </w:r>
          </w:p>
        </w:tc>
        <w:tc>
          <w:tcPr>
            <w:tcW w:w="129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c>
          <w:tcPr>
            <w:tcW w:w="106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c>
          <w:tcPr>
            <w:tcW w:w="86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67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181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 xml:space="preserve">  其他资金</w:t>
            </w:r>
          </w:p>
        </w:tc>
        <w:tc>
          <w:tcPr>
            <w:tcW w:w="89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w:t>
            </w:r>
          </w:p>
        </w:tc>
        <w:tc>
          <w:tcPr>
            <w:tcW w:w="117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w:t>
            </w:r>
          </w:p>
        </w:tc>
        <w:tc>
          <w:tcPr>
            <w:tcW w:w="104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w:t>
            </w:r>
          </w:p>
        </w:tc>
        <w:tc>
          <w:tcPr>
            <w:tcW w:w="129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c>
          <w:tcPr>
            <w:tcW w:w="106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c>
          <w:tcPr>
            <w:tcW w:w="86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38"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年度总体目标</w:t>
            </w:r>
          </w:p>
        </w:tc>
        <w:tc>
          <w:tcPr>
            <w:tcW w:w="4731"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预期目标</w:t>
            </w:r>
          </w:p>
        </w:tc>
        <w:tc>
          <w:tcPr>
            <w:tcW w:w="4271"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1" w:hRule="atLeast"/>
        </w:trPr>
        <w:tc>
          <w:tcPr>
            <w:tcW w:w="838"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4731"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“访惠聚”第一书记及为民办实事活动经费总计170000元</w:t>
            </w:r>
          </w:p>
        </w:tc>
        <w:tc>
          <w:tcPr>
            <w:tcW w:w="4271"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“访惠聚”第一书记是2021年7月由我部副部长担任，该经费也是2021年7月31日拨入我部。受疫情影响，“访惠聚”第一书记为民办实事大部分项目都无法实施，所以该项目本年完成率较低。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3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39" w:type="dxa"/>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850"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964"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899"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542"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637" w:type="dxa"/>
            <w:tcBorders>
              <w:top w:val="single" w:color="000000" w:sz="4" w:space="0"/>
              <w:left w:val="nil"/>
              <w:bottom w:val="single" w:color="000000" w:sz="4" w:space="0"/>
              <w:right w:val="single" w:color="000000" w:sz="4" w:space="0"/>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516" w:type="dxa"/>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525"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611"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681"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506"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563" w:type="dxa"/>
            <w:tcBorders>
              <w:top w:val="single" w:color="000000" w:sz="4" w:space="0"/>
              <w:left w:val="nil"/>
              <w:bottom w:val="single" w:color="000000" w:sz="4" w:space="0"/>
              <w:right w:val="nil"/>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c>
          <w:tcPr>
            <w:tcW w:w="869" w:type="dxa"/>
            <w:tcBorders>
              <w:top w:val="single" w:color="000000" w:sz="4" w:space="0"/>
              <w:left w:val="nil"/>
              <w:bottom w:val="single" w:color="000000" w:sz="4" w:space="0"/>
              <w:right w:val="single" w:color="000000" w:sz="4" w:space="0"/>
              <w:tl2br w:val="nil"/>
              <w:tr2bl w:val="nil"/>
            </w:tcBorders>
            <w:noWrap w:val="0"/>
            <w:tcMar>
              <w:top w:w="15" w:type="dxa"/>
              <w:left w:w="15" w:type="dxa"/>
              <w:right w:w="15" w:type="dxa"/>
            </w:tcMar>
            <w:vAlign w:val="top"/>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atLeast"/>
        </w:trPr>
        <w:tc>
          <w:tcPr>
            <w:tcW w:w="838"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39"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一级指标</w:t>
            </w:r>
          </w:p>
        </w:tc>
        <w:tc>
          <w:tcPr>
            <w:tcW w:w="85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二级指标</w:t>
            </w:r>
          </w:p>
        </w:tc>
        <w:tc>
          <w:tcPr>
            <w:tcW w:w="2405"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三级指标</w:t>
            </w:r>
          </w:p>
        </w:tc>
        <w:tc>
          <w:tcPr>
            <w:tcW w:w="637"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年度指标值</w:t>
            </w:r>
          </w:p>
        </w:tc>
        <w:tc>
          <w:tcPr>
            <w:tcW w:w="516"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实际完成值</w:t>
            </w:r>
          </w:p>
        </w:tc>
        <w:tc>
          <w:tcPr>
            <w:tcW w:w="113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分值</w:t>
            </w:r>
          </w:p>
        </w:tc>
        <w:tc>
          <w:tcPr>
            <w:tcW w:w="1187"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得分</w:t>
            </w:r>
          </w:p>
        </w:tc>
        <w:tc>
          <w:tcPr>
            <w:tcW w:w="1432"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838"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3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5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2405"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637"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516"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113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118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1432"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838"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年度绩效指标完成情况</w:t>
            </w:r>
          </w:p>
        </w:tc>
        <w:tc>
          <w:tcPr>
            <w:tcW w:w="839"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产出指标</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数量指标</w:t>
            </w:r>
          </w:p>
        </w:tc>
        <w:tc>
          <w:tcPr>
            <w:tcW w:w="240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访惠聚干部数量</w:t>
            </w:r>
          </w:p>
        </w:tc>
        <w:tc>
          <w:tcPr>
            <w:tcW w:w="6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=2人</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2人</w:t>
            </w:r>
          </w:p>
        </w:tc>
        <w:tc>
          <w:tcPr>
            <w:tcW w:w="113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118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143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838"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3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数量指标</w:t>
            </w:r>
          </w:p>
        </w:tc>
        <w:tc>
          <w:tcPr>
            <w:tcW w:w="240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经费支付次数</w:t>
            </w:r>
          </w:p>
        </w:tc>
        <w:tc>
          <w:tcPr>
            <w:tcW w:w="6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&lt;=6次</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6次</w:t>
            </w:r>
          </w:p>
        </w:tc>
        <w:tc>
          <w:tcPr>
            <w:tcW w:w="113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118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1.65</w:t>
            </w:r>
          </w:p>
        </w:tc>
        <w:tc>
          <w:tcPr>
            <w:tcW w:w="143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838"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3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质量指标</w:t>
            </w:r>
          </w:p>
        </w:tc>
        <w:tc>
          <w:tcPr>
            <w:tcW w:w="240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考勤出率勤</w:t>
            </w:r>
          </w:p>
        </w:tc>
        <w:tc>
          <w:tcPr>
            <w:tcW w:w="6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113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118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143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838"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3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质量指标</w:t>
            </w:r>
          </w:p>
        </w:tc>
        <w:tc>
          <w:tcPr>
            <w:tcW w:w="240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协助社区工作完成率</w:t>
            </w:r>
          </w:p>
        </w:tc>
        <w:tc>
          <w:tcPr>
            <w:tcW w:w="6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113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118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143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838"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3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时效指标</w:t>
            </w:r>
          </w:p>
        </w:tc>
        <w:tc>
          <w:tcPr>
            <w:tcW w:w="240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工作完成及时率</w:t>
            </w:r>
          </w:p>
        </w:tc>
        <w:tc>
          <w:tcPr>
            <w:tcW w:w="6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113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118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143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838"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3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时效指标</w:t>
            </w:r>
          </w:p>
        </w:tc>
        <w:tc>
          <w:tcPr>
            <w:tcW w:w="240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资金到位率</w:t>
            </w:r>
          </w:p>
        </w:tc>
        <w:tc>
          <w:tcPr>
            <w:tcW w:w="6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113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118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143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9" w:hRule="atLeast"/>
        </w:trPr>
        <w:tc>
          <w:tcPr>
            <w:tcW w:w="838"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3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时效指标</w:t>
            </w:r>
          </w:p>
        </w:tc>
        <w:tc>
          <w:tcPr>
            <w:tcW w:w="240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项目完成时间</w:t>
            </w:r>
          </w:p>
        </w:tc>
        <w:tc>
          <w:tcPr>
            <w:tcW w:w="6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2021年12月31日前</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 xml:space="preserve"> 2021年12月31日前</w:t>
            </w:r>
          </w:p>
        </w:tc>
        <w:tc>
          <w:tcPr>
            <w:tcW w:w="113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118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143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838"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3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成本指标</w:t>
            </w:r>
          </w:p>
        </w:tc>
        <w:tc>
          <w:tcPr>
            <w:tcW w:w="240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经费总额</w:t>
            </w:r>
          </w:p>
        </w:tc>
        <w:tc>
          <w:tcPr>
            <w:tcW w:w="6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&lt;=17万</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0.16万</w:t>
            </w:r>
          </w:p>
        </w:tc>
        <w:tc>
          <w:tcPr>
            <w:tcW w:w="113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118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5</w:t>
            </w:r>
          </w:p>
        </w:tc>
        <w:tc>
          <w:tcPr>
            <w:tcW w:w="143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838"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39"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效益指标</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经济效益指标</w:t>
            </w:r>
          </w:p>
        </w:tc>
        <w:tc>
          <w:tcPr>
            <w:tcW w:w="240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color w:val="000000"/>
                <w:sz w:val="24"/>
              </w:rPr>
            </w:pPr>
          </w:p>
        </w:tc>
        <w:tc>
          <w:tcPr>
            <w:tcW w:w="6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113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118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143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838"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3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社会效益指标</w:t>
            </w:r>
          </w:p>
        </w:tc>
        <w:tc>
          <w:tcPr>
            <w:tcW w:w="240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有效完善工作队工作职能</w:t>
            </w:r>
          </w:p>
        </w:tc>
        <w:tc>
          <w:tcPr>
            <w:tcW w:w="6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有效</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 xml:space="preserve"> 有效</w:t>
            </w:r>
          </w:p>
        </w:tc>
        <w:tc>
          <w:tcPr>
            <w:tcW w:w="113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15</w:t>
            </w:r>
          </w:p>
        </w:tc>
        <w:tc>
          <w:tcPr>
            <w:tcW w:w="118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15</w:t>
            </w:r>
          </w:p>
        </w:tc>
        <w:tc>
          <w:tcPr>
            <w:tcW w:w="143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838"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3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生态效益指标</w:t>
            </w:r>
          </w:p>
        </w:tc>
        <w:tc>
          <w:tcPr>
            <w:tcW w:w="240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beforeLines="0" w:afterLines="0"/>
              <w:jc w:val="left"/>
              <w:rPr>
                <w:rFonts w:hint="eastAsia" w:ascii="宋体" w:hAnsi="宋体"/>
                <w:color w:val="000000"/>
                <w:sz w:val="24"/>
              </w:rPr>
            </w:pPr>
          </w:p>
        </w:tc>
        <w:tc>
          <w:tcPr>
            <w:tcW w:w="6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113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118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143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0" w:hRule="atLeast"/>
        </w:trPr>
        <w:tc>
          <w:tcPr>
            <w:tcW w:w="838"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3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可持续影响指标</w:t>
            </w:r>
          </w:p>
        </w:tc>
        <w:tc>
          <w:tcPr>
            <w:tcW w:w="240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持续解决所在社区居民困难</w:t>
            </w:r>
          </w:p>
        </w:tc>
        <w:tc>
          <w:tcPr>
            <w:tcW w:w="6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&gt;=1年</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1年</w:t>
            </w:r>
          </w:p>
        </w:tc>
        <w:tc>
          <w:tcPr>
            <w:tcW w:w="113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15</w:t>
            </w:r>
          </w:p>
        </w:tc>
        <w:tc>
          <w:tcPr>
            <w:tcW w:w="118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15</w:t>
            </w:r>
          </w:p>
        </w:tc>
        <w:tc>
          <w:tcPr>
            <w:tcW w:w="143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838"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3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满意度指标</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满意度指标</w:t>
            </w:r>
          </w:p>
        </w:tc>
        <w:tc>
          <w:tcPr>
            <w:tcW w:w="240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beforeLines="0" w:afterLines="0"/>
              <w:jc w:val="left"/>
              <w:textAlignment w:val="center"/>
              <w:rPr>
                <w:rFonts w:hint="eastAsia" w:ascii="宋体" w:hAnsi="宋体"/>
                <w:color w:val="000000"/>
                <w:sz w:val="24"/>
              </w:rPr>
            </w:pPr>
            <w:r>
              <w:rPr>
                <w:rFonts w:hint="eastAsia" w:ascii="宋体" w:hAnsi="宋体"/>
                <w:color w:val="000000"/>
                <w:kern w:val="0"/>
                <w:sz w:val="24"/>
              </w:rPr>
              <w:t>群众满意度</w:t>
            </w:r>
          </w:p>
        </w:tc>
        <w:tc>
          <w:tcPr>
            <w:tcW w:w="6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&gt;=95%</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95%</w:t>
            </w:r>
          </w:p>
        </w:tc>
        <w:tc>
          <w:tcPr>
            <w:tcW w:w="113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118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w:t>
            </w:r>
          </w:p>
        </w:tc>
        <w:tc>
          <w:tcPr>
            <w:tcW w:w="143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3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3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964" w:type="dxa"/>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c>
          <w:tcPr>
            <w:tcW w:w="899" w:type="dxa"/>
            <w:tcBorders>
              <w:top w:val="single" w:color="000000" w:sz="4" w:space="0"/>
              <w:left w:val="nil"/>
              <w:bottom w:val="single" w:color="000000" w:sz="4" w:space="0"/>
              <w:right w:val="nil"/>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c>
          <w:tcPr>
            <w:tcW w:w="542" w:type="dxa"/>
            <w:tcBorders>
              <w:top w:val="single" w:color="000000" w:sz="4" w:space="0"/>
              <w:left w:val="nil"/>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left"/>
              <w:rPr>
                <w:rFonts w:hint="eastAsia" w:ascii="宋体" w:hAnsi="宋体"/>
                <w:color w:val="000000"/>
                <w:sz w:val="24"/>
              </w:rPr>
            </w:pPr>
          </w:p>
        </w:tc>
        <w:tc>
          <w:tcPr>
            <w:tcW w:w="6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525" w:type="dxa"/>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611" w:type="dxa"/>
            <w:tcBorders>
              <w:top w:val="single" w:color="000000" w:sz="4" w:space="0"/>
              <w:left w:val="nil"/>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681" w:type="dxa"/>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506" w:type="dxa"/>
            <w:tcBorders>
              <w:top w:val="single" w:color="000000" w:sz="4" w:space="0"/>
              <w:left w:val="nil"/>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c>
          <w:tcPr>
            <w:tcW w:w="86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6085" w:type="dxa"/>
            <w:gridSpan w:val="8"/>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总分</w:t>
            </w:r>
          </w:p>
        </w:tc>
        <w:tc>
          <w:tcPr>
            <w:tcW w:w="113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100</w:t>
            </w:r>
          </w:p>
        </w:tc>
        <w:tc>
          <w:tcPr>
            <w:tcW w:w="118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olor w:val="000000"/>
                <w:sz w:val="24"/>
              </w:rPr>
            </w:pPr>
            <w:r>
              <w:rPr>
                <w:rFonts w:hint="eastAsia" w:ascii="宋体" w:hAnsi="宋体"/>
                <w:color w:val="000000"/>
                <w:kern w:val="0"/>
                <w:sz w:val="24"/>
              </w:rPr>
              <w:t>96.65分</w:t>
            </w:r>
          </w:p>
        </w:tc>
        <w:tc>
          <w:tcPr>
            <w:tcW w:w="143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beforeLines="0" w:afterLines="0"/>
              <w:jc w:val="center"/>
              <w:rPr>
                <w:rFonts w:hint="eastAsia" w:ascii="宋体" w:hAnsi="宋体"/>
                <w:color w:val="000000"/>
                <w:sz w:val="24"/>
              </w:rPr>
            </w:pPr>
          </w:p>
        </w:tc>
      </w:tr>
    </w:tbl>
    <w:p>
      <w:pPr>
        <w:rPr>
          <w:rFonts w:hint="eastAsia" w:ascii="黑体" w:hAnsi="Times New Roman" w:eastAsia="黑体"/>
          <w:kern w:val="0"/>
          <w:sz w:val="32"/>
        </w:rPr>
      </w:pPr>
      <w:r>
        <w:rPr>
          <w:rFonts w:hint="eastAsia" w:ascii="黑体" w:hAnsi="Times New Roman" w:eastAsia="黑体"/>
          <w:kern w:val="0"/>
          <w:sz w:val="32"/>
        </w:rPr>
        <w:br w:type="page"/>
      </w:r>
    </w:p>
    <w:p>
      <w:pPr>
        <w:shd w:val="clear" w:color="auto" w:fill="FFFFFF"/>
        <w:autoSpaceDE w:val="0"/>
        <w:autoSpaceDN w:val="0"/>
        <w:adjustRightInd w:val="0"/>
        <w:spacing w:before="100" w:beforeLines="0" w:after="240" w:afterLines="0"/>
        <w:jc w:val="center"/>
        <w:rPr>
          <w:rFonts w:hint="default" w:ascii="Times New Roman" w:hAnsi="Times New Roman" w:eastAsia="黑体"/>
          <w:b/>
          <w:kern w:val="0"/>
          <w:sz w:val="28"/>
        </w:rPr>
      </w:pPr>
      <w:r>
        <w:rPr>
          <w:rFonts w:hint="eastAsia" w:ascii="黑体" w:hAnsi="Times New Roman" w:eastAsia="黑体"/>
          <w:kern w:val="0"/>
          <w:sz w:val="32"/>
        </w:rPr>
        <w:t>第三部分 专业名词解释</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rPr>
      </w:pPr>
      <w:r>
        <w:rPr>
          <w:rFonts w:hint="eastAsia" w:ascii="仿宋_GB2312" w:hAnsi="Times New Roman" w:eastAsia="仿宋_GB2312"/>
          <w:kern w:val="0"/>
          <w:sz w:val="32"/>
        </w:rPr>
        <w:t>财政拨款收入：指同级财政当年拨付的资金。</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rPr>
      </w:pPr>
      <w:r>
        <w:rPr>
          <w:rFonts w:hint="eastAsia" w:ascii="仿宋_GB2312" w:hAnsi="Times New Roman" w:eastAsia="仿宋_GB2312"/>
          <w:kern w:val="0"/>
          <w:sz w:val="32"/>
        </w:rPr>
        <w:t>上级补助收入：指事业单位从主管部门和上级单位取得的非财政补助收入。</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rPr>
      </w:pPr>
      <w:r>
        <w:rPr>
          <w:rFonts w:hint="eastAsia" w:ascii="仿宋_GB2312" w:hAnsi="Times New Roman" w:eastAsia="仿宋_GB2312"/>
          <w:kern w:val="0"/>
          <w:sz w:val="32"/>
        </w:rPr>
        <w:t>事业收入：指事业单位开展专业业务活动及其辅助活动所取得的收入。</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rPr>
      </w:pPr>
      <w:r>
        <w:rPr>
          <w:rFonts w:hint="eastAsia" w:ascii="仿宋_GB2312" w:hAnsi="Times New Roman" w:eastAsia="仿宋_GB2312"/>
          <w:kern w:val="0"/>
          <w:sz w:val="32"/>
        </w:rPr>
        <w:t>经营收入：指事业单位在专业业务活动及其辅助活动之外开展非独立核算经营活动取得的收入。</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rPr>
      </w:pPr>
      <w:r>
        <w:rPr>
          <w:rFonts w:hint="eastAsia" w:ascii="仿宋_GB2312" w:hAnsi="Times New Roman" w:eastAsia="仿宋_GB2312"/>
          <w:kern w:val="0"/>
          <w:sz w:val="32"/>
        </w:rPr>
        <w:t>附属单位上缴收入：指事业单位附属的独立核算单位按有关规定上缴的收入。</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rPr>
      </w:pPr>
      <w:r>
        <w:rPr>
          <w:rFonts w:hint="eastAsia" w:ascii="仿宋_GB2312" w:hAnsi="Times New Roman" w:eastAsia="仿宋_GB2312"/>
          <w:kern w:val="0"/>
          <w:sz w:val="32"/>
        </w:rPr>
        <w:t>其他收入：指除上述</w:t>
      </w:r>
      <w:r>
        <w:rPr>
          <w:rFonts w:hint="default" w:ascii="Times New Roman" w:hAnsi="Times New Roman" w:eastAsia="仿宋_GB2312"/>
          <w:kern w:val="0"/>
          <w:sz w:val="32"/>
        </w:rPr>
        <w:t>“</w:t>
      </w:r>
      <w:r>
        <w:rPr>
          <w:rFonts w:hint="eastAsia" w:ascii="仿宋_GB2312" w:hAnsi="Times New Roman" w:eastAsia="仿宋_GB2312"/>
          <w:kern w:val="0"/>
          <w:sz w:val="32"/>
        </w:rPr>
        <w:t>财政拨款收入</w:t>
      </w:r>
      <w:r>
        <w:rPr>
          <w:rFonts w:hint="default" w:ascii="Times New Roman" w:hAnsi="Times New Roman" w:eastAsia="仿宋_GB2312"/>
          <w:kern w:val="0"/>
          <w:sz w:val="32"/>
        </w:rPr>
        <w:t>”</w:t>
      </w:r>
      <w:r>
        <w:rPr>
          <w:rFonts w:hint="eastAsia" w:ascii="仿宋_GB2312" w:hAnsi="Times New Roman" w:eastAsia="仿宋_GB2312"/>
          <w:kern w:val="0"/>
          <w:sz w:val="32"/>
        </w:rPr>
        <w:t>、</w:t>
      </w:r>
      <w:r>
        <w:rPr>
          <w:rFonts w:hint="default" w:ascii="Times New Roman" w:hAnsi="Times New Roman" w:eastAsia="仿宋_GB2312"/>
          <w:kern w:val="0"/>
          <w:sz w:val="32"/>
        </w:rPr>
        <w:t>“</w:t>
      </w:r>
      <w:r>
        <w:rPr>
          <w:rFonts w:hint="eastAsia" w:ascii="仿宋_GB2312" w:hAnsi="Times New Roman" w:eastAsia="仿宋_GB2312"/>
          <w:kern w:val="0"/>
          <w:sz w:val="32"/>
        </w:rPr>
        <w:t>事业收入</w:t>
      </w:r>
      <w:r>
        <w:rPr>
          <w:rFonts w:hint="default" w:ascii="Times New Roman" w:hAnsi="Times New Roman" w:eastAsia="仿宋_GB2312"/>
          <w:kern w:val="0"/>
          <w:sz w:val="32"/>
        </w:rPr>
        <w:t>”</w:t>
      </w:r>
      <w:r>
        <w:rPr>
          <w:rFonts w:hint="eastAsia" w:ascii="仿宋_GB2312" w:hAnsi="Times New Roman" w:eastAsia="仿宋_GB2312"/>
          <w:kern w:val="0"/>
          <w:sz w:val="32"/>
        </w:rPr>
        <w:t>、</w:t>
      </w:r>
      <w:r>
        <w:rPr>
          <w:rFonts w:hint="default" w:ascii="Times New Roman" w:hAnsi="Times New Roman" w:eastAsia="仿宋_GB2312"/>
          <w:kern w:val="0"/>
          <w:sz w:val="32"/>
        </w:rPr>
        <w:t>“</w:t>
      </w:r>
      <w:r>
        <w:rPr>
          <w:rFonts w:hint="eastAsia" w:ascii="仿宋_GB2312" w:hAnsi="Times New Roman" w:eastAsia="仿宋_GB2312"/>
          <w:kern w:val="0"/>
          <w:sz w:val="32"/>
        </w:rPr>
        <w:t>经营收入</w:t>
      </w:r>
      <w:r>
        <w:rPr>
          <w:rFonts w:hint="default" w:ascii="Times New Roman" w:hAnsi="Times New Roman" w:eastAsia="仿宋_GB2312"/>
          <w:kern w:val="0"/>
          <w:sz w:val="32"/>
        </w:rPr>
        <w:t>”</w:t>
      </w:r>
      <w:r>
        <w:rPr>
          <w:rFonts w:hint="eastAsia" w:ascii="仿宋_GB2312" w:hAnsi="Times New Roman" w:eastAsia="仿宋_GB2312"/>
          <w:kern w:val="0"/>
          <w:sz w:val="32"/>
        </w:rPr>
        <w:t>、</w:t>
      </w:r>
      <w:r>
        <w:rPr>
          <w:rFonts w:hint="default" w:ascii="Times New Roman" w:hAnsi="Times New Roman" w:eastAsia="仿宋_GB2312"/>
          <w:kern w:val="0"/>
          <w:sz w:val="32"/>
        </w:rPr>
        <w:t>“</w:t>
      </w:r>
      <w:r>
        <w:rPr>
          <w:rFonts w:hint="eastAsia" w:ascii="仿宋_GB2312" w:hAnsi="Times New Roman" w:eastAsia="仿宋_GB2312"/>
          <w:kern w:val="0"/>
          <w:sz w:val="32"/>
        </w:rPr>
        <w:t>附属单位上缴收入</w:t>
      </w:r>
      <w:r>
        <w:rPr>
          <w:rFonts w:hint="default" w:ascii="Times New Roman" w:hAnsi="Times New Roman" w:eastAsia="仿宋_GB2312"/>
          <w:kern w:val="0"/>
          <w:sz w:val="32"/>
        </w:rPr>
        <w:t>”</w:t>
      </w:r>
      <w:r>
        <w:rPr>
          <w:rFonts w:hint="eastAsia" w:ascii="仿宋_GB2312" w:hAnsi="Times New Roman" w:eastAsia="仿宋_GB2312"/>
          <w:kern w:val="0"/>
          <w:sz w:val="32"/>
        </w:rPr>
        <w:t>等之外取得的收入。</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rPr>
      </w:pPr>
      <w:r>
        <w:rPr>
          <w:rFonts w:hint="eastAsia" w:ascii="仿宋_GB2312" w:hAnsi="Times New Roman" w:eastAsia="仿宋_GB2312"/>
          <w:kern w:val="0"/>
          <w:sz w:val="32"/>
        </w:rPr>
        <w:t>年初结转和结余：指以前年度支出预算因客观条件变化未执行完毕、结转到本年度按有关规定继续使用的资金，既包括财政拨款结转和结余，也包括事业收入、经营收入、其他收入的结转和结余。</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rPr>
      </w:pPr>
      <w:r>
        <w:rPr>
          <w:rFonts w:hint="eastAsia" w:ascii="仿宋_GB2312" w:hAnsi="Times New Roman" w:eastAsia="仿宋_GB2312"/>
          <w:kern w:val="0"/>
          <w:sz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rPr>
      </w:pPr>
      <w:r>
        <w:rPr>
          <w:rFonts w:hint="eastAsia" w:ascii="仿宋_GB2312" w:hAnsi="Times New Roman" w:eastAsia="仿宋_GB2312"/>
          <w:kern w:val="0"/>
          <w:sz w:val="32"/>
        </w:rPr>
        <w:t>基本支出：指为保障机构正常运转、完成日常工作任务而发生的人员支出和公用支出。</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rPr>
      </w:pPr>
      <w:r>
        <w:rPr>
          <w:rFonts w:hint="eastAsia" w:ascii="仿宋_GB2312" w:hAnsi="Times New Roman" w:eastAsia="仿宋_GB2312"/>
          <w:kern w:val="0"/>
          <w:sz w:val="32"/>
        </w:rPr>
        <w:t>项目支出：指在基本支出之外为完成特定行政任务和事业发展目标所发生的支出。</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rPr>
      </w:pPr>
      <w:r>
        <w:rPr>
          <w:rFonts w:hint="eastAsia" w:ascii="仿宋_GB2312" w:hAnsi="Times New Roman" w:eastAsia="仿宋_GB2312"/>
          <w:kern w:val="0"/>
          <w:sz w:val="32"/>
        </w:rPr>
        <w:t>经营支出：指事业单位在专业业务活动及其辅助活动之外开展非独立核算经营活动发生的支出。</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rPr>
      </w:pPr>
      <w:r>
        <w:rPr>
          <w:rFonts w:hint="eastAsia" w:ascii="仿宋_GB2312" w:hAnsi="Times New Roman" w:eastAsia="仿宋_GB2312"/>
          <w:kern w:val="0"/>
          <w:sz w:val="32"/>
        </w:rPr>
        <w:t>对附属单位补助支出：指事业单位发生的用非财政预算资金对附属单位的补助支出。</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rPr>
      </w:pPr>
      <w:r>
        <w:rPr>
          <w:rFonts w:hint="default" w:ascii="Times New Roman" w:hAnsi="Times New Roman" w:eastAsia="仿宋_GB2312"/>
          <w:kern w:val="0"/>
          <w:sz w:val="32"/>
        </w:rPr>
        <w:t>“</w:t>
      </w:r>
      <w:r>
        <w:rPr>
          <w:rFonts w:hint="eastAsia" w:ascii="仿宋_GB2312" w:hAnsi="Times New Roman" w:eastAsia="仿宋_GB2312"/>
          <w:kern w:val="0"/>
          <w:sz w:val="32"/>
        </w:rPr>
        <w:t>三公</w:t>
      </w:r>
      <w:r>
        <w:rPr>
          <w:rFonts w:hint="default" w:ascii="Times New Roman" w:hAnsi="Times New Roman" w:eastAsia="仿宋_GB2312"/>
          <w:kern w:val="0"/>
          <w:sz w:val="32"/>
        </w:rPr>
        <w:t>”</w:t>
      </w:r>
      <w:r>
        <w:rPr>
          <w:rFonts w:hint="eastAsia" w:ascii="仿宋_GB2312" w:hAnsi="Times New Roman" w:eastAsia="仿宋_GB2312"/>
          <w:kern w:val="0"/>
          <w:sz w:val="32"/>
        </w:rPr>
        <w:t>经费：指用一般公共预算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rPr>
      </w:pPr>
      <w:r>
        <w:rPr>
          <w:rFonts w:hint="eastAsia" w:ascii="仿宋_GB2312" w:hAnsi="Times New Roman" w:eastAsia="仿宋_GB2312"/>
          <w:kern w:val="0"/>
          <w:sz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hd w:val="clear" w:color="auto" w:fill="FFFFFF"/>
        <w:autoSpaceDE w:val="0"/>
        <w:autoSpaceDN w:val="0"/>
        <w:adjustRightInd w:val="0"/>
        <w:spacing w:before="100" w:beforeLines="0" w:after="240" w:afterLines="0"/>
        <w:jc w:val="center"/>
        <w:rPr>
          <w:rFonts w:hint="default" w:ascii="Times New Roman" w:hAnsi="Times New Roman" w:eastAsia="黑体"/>
          <w:kern w:val="0"/>
          <w:sz w:val="32"/>
        </w:rPr>
      </w:pPr>
      <w:bookmarkStart w:id="0" w:name="_GoBack"/>
      <w:bookmarkEnd w:id="0"/>
      <w:r>
        <w:rPr>
          <w:rFonts w:hint="eastAsia" w:ascii="黑体" w:hAnsi="Times New Roman" w:eastAsia="黑体"/>
          <w:kern w:val="0"/>
          <w:sz w:val="32"/>
        </w:rPr>
        <w:t>第四部分 部门决算报表（见附表）</w:t>
      </w:r>
    </w:p>
    <w:p>
      <w:pPr>
        <w:autoSpaceDE w:val="0"/>
        <w:autoSpaceDN w:val="0"/>
        <w:adjustRightInd w:val="0"/>
        <w:spacing w:beforeLines="0" w:afterLines="0" w:line="540" w:lineRule="exact"/>
        <w:ind w:firstLine="640"/>
        <w:rPr>
          <w:rFonts w:hint="default" w:ascii="Times New Roman" w:hAnsi="Times New Roman" w:eastAsia="黑体"/>
          <w:sz w:val="32"/>
        </w:rPr>
      </w:pPr>
      <w:r>
        <w:rPr>
          <w:rFonts w:hint="eastAsia" w:ascii="黑体" w:hAnsi="Times New Roman" w:eastAsia="黑体"/>
          <w:sz w:val="32"/>
        </w:rPr>
        <w:t>一、《收入支出决算总表》</w:t>
      </w:r>
    </w:p>
    <w:p>
      <w:pPr>
        <w:autoSpaceDE w:val="0"/>
        <w:autoSpaceDN w:val="0"/>
        <w:adjustRightInd w:val="0"/>
        <w:spacing w:beforeLines="0" w:afterLines="0" w:line="540" w:lineRule="exact"/>
        <w:ind w:firstLine="640"/>
        <w:rPr>
          <w:rFonts w:hint="default" w:ascii="Times New Roman" w:hAnsi="Times New Roman" w:eastAsia="黑体"/>
          <w:sz w:val="32"/>
        </w:rPr>
      </w:pPr>
      <w:r>
        <w:rPr>
          <w:rFonts w:hint="eastAsia" w:ascii="黑体" w:hAnsi="Times New Roman" w:eastAsia="黑体"/>
          <w:sz w:val="32"/>
        </w:rPr>
        <w:t>二、《收入决算表》</w:t>
      </w:r>
    </w:p>
    <w:p>
      <w:pPr>
        <w:autoSpaceDE w:val="0"/>
        <w:autoSpaceDN w:val="0"/>
        <w:adjustRightInd w:val="0"/>
        <w:spacing w:beforeLines="0" w:afterLines="0" w:line="540" w:lineRule="exact"/>
        <w:ind w:firstLine="640"/>
        <w:rPr>
          <w:rFonts w:hint="default" w:ascii="Times New Roman" w:hAnsi="Times New Roman" w:eastAsia="黑体"/>
          <w:sz w:val="32"/>
        </w:rPr>
      </w:pPr>
      <w:r>
        <w:rPr>
          <w:rFonts w:hint="eastAsia" w:ascii="黑体" w:hAnsi="Times New Roman" w:eastAsia="黑体"/>
          <w:sz w:val="32"/>
        </w:rPr>
        <w:t>三、《支出决算表》</w:t>
      </w:r>
    </w:p>
    <w:p>
      <w:pPr>
        <w:autoSpaceDE w:val="0"/>
        <w:autoSpaceDN w:val="0"/>
        <w:adjustRightInd w:val="0"/>
        <w:spacing w:beforeLines="0" w:afterLines="0" w:line="540" w:lineRule="exact"/>
        <w:ind w:firstLine="640"/>
        <w:rPr>
          <w:rFonts w:hint="default" w:ascii="Times New Roman" w:hAnsi="Times New Roman" w:eastAsia="黑体"/>
          <w:sz w:val="32"/>
        </w:rPr>
      </w:pPr>
      <w:r>
        <w:rPr>
          <w:rFonts w:hint="eastAsia" w:ascii="黑体" w:hAnsi="Times New Roman" w:eastAsia="黑体"/>
          <w:sz w:val="32"/>
        </w:rPr>
        <w:t>四、《财政拨款收入支出决算总表》</w:t>
      </w:r>
    </w:p>
    <w:p>
      <w:pPr>
        <w:autoSpaceDE w:val="0"/>
        <w:autoSpaceDN w:val="0"/>
        <w:adjustRightInd w:val="0"/>
        <w:spacing w:beforeLines="0" w:afterLines="0" w:line="540" w:lineRule="exact"/>
        <w:ind w:firstLine="640"/>
        <w:rPr>
          <w:rFonts w:hint="default" w:ascii="Times New Roman" w:hAnsi="Times New Roman" w:eastAsia="黑体"/>
          <w:sz w:val="32"/>
        </w:rPr>
      </w:pPr>
      <w:r>
        <w:rPr>
          <w:rFonts w:hint="eastAsia" w:ascii="黑体" w:hAnsi="Times New Roman" w:eastAsia="黑体"/>
          <w:sz w:val="32"/>
        </w:rPr>
        <w:t>五、《一般公共预算财政拨款支出决算表》</w:t>
      </w:r>
    </w:p>
    <w:p>
      <w:pPr>
        <w:autoSpaceDE w:val="0"/>
        <w:autoSpaceDN w:val="0"/>
        <w:adjustRightInd w:val="0"/>
        <w:spacing w:beforeLines="0" w:afterLines="0" w:line="540" w:lineRule="exact"/>
        <w:ind w:firstLine="640"/>
        <w:rPr>
          <w:rFonts w:hint="default" w:ascii="Times New Roman" w:hAnsi="Times New Roman" w:eastAsia="黑体"/>
          <w:sz w:val="32"/>
        </w:rPr>
      </w:pPr>
      <w:r>
        <w:rPr>
          <w:rFonts w:hint="eastAsia" w:ascii="黑体" w:hAnsi="Times New Roman" w:eastAsia="黑体"/>
          <w:sz w:val="32"/>
        </w:rPr>
        <w:t>六、《一般公共预算财政拨款基本支出决算表》</w:t>
      </w:r>
    </w:p>
    <w:p>
      <w:pPr>
        <w:autoSpaceDE w:val="0"/>
        <w:autoSpaceDN w:val="0"/>
        <w:adjustRightInd w:val="0"/>
        <w:spacing w:beforeLines="0" w:afterLines="0" w:line="540" w:lineRule="exact"/>
        <w:ind w:firstLine="640"/>
        <w:rPr>
          <w:rFonts w:hint="default" w:ascii="Times New Roman" w:hAnsi="Times New Roman" w:eastAsia="黑体"/>
          <w:sz w:val="32"/>
        </w:rPr>
      </w:pPr>
      <w:r>
        <w:rPr>
          <w:rFonts w:hint="eastAsia" w:ascii="黑体" w:hAnsi="Times New Roman" w:eastAsia="黑体"/>
          <w:sz w:val="32"/>
        </w:rPr>
        <w:t>七、《一般公共预算财政拨款</w:t>
      </w:r>
      <w:r>
        <w:rPr>
          <w:rFonts w:hint="default" w:ascii="Times New Roman" w:hAnsi="Times New Roman" w:eastAsia="黑体"/>
          <w:sz w:val="32"/>
        </w:rPr>
        <w:t>“</w:t>
      </w:r>
      <w:r>
        <w:rPr>
          <w:rFonts w:hint="eastAsia" w:ascii="黑体" w:hAnsi="Times New Roman" w:eastAsia="黑体"/>
          <w:sz w:val="32"/>
        </w:rPr>
        <w:t>三公</w:t>
      </w:r>
      <w:r>
        <w:rPr>
          <w:rFonts w:hint="default" w:ascii="Times New Roman" w:hAnsi="Times New Roman" w:eastAsia="黑体"/>
          <w:sz w:val="32"/>
        </w:rPr>
        <w:t>”</w:t>
      </w:r>
      <w:r>
        <w:rPr>
          <w:rFonts w:hint="eastAsia" w:ascii="黑体" w:hAnsi="Times New Roman" w:eastAsia="黑体"/>
          <w:sz w:val="32"/>
        </w:rPr>
        <w:t>经费支出决算表》</w:t>
      </w:r>
    </w:p>
    <w:p>
      <w:pPr>
        <w:autoSpaceDE w:val="0"/>
        <w:autoSpaceDN w:val="0"/>
        <w:adjustRightInd w:val="0"/>
        <w:spacing w:beforeLines="0" w:afterLines="0" w:line="540" w:lineRule="exact"/>
        <w:ind w:firstLine="640"/>
        <w:rPr>
          <w:rFonts w:hint="default" w:ascii="Times New Roman" w:hAnsi="Times New Roman" w:eastAsia="黑体"/>
          <w:kern w:val="0"/>
          <w:sz w:val="32"/>
        </w:rPr>
      </w:pPr>
      <w:r>
        <w:rPr>
          <w:rFonts w:hint="eastAsia" w:ascii="黑体" w:hAnsi="Times New Roman" w:eastAsia="黑体"/>
          <w:sz w:val="32"/>
        </w:rPr>
        <w:t>八、《政府性基金预算财政拨款收入支出决算表》</w:t>
      </w:r>
    </w:p>
    <w:p>
      <w:pPr>
        <w:autoSpaceDE w:val="0"/>
        <w:autoSpaceDN w:val="0"/>
        <w:adjustRightInd w:val="0"/>
        <w:spacing w:beforeLines="0" w:afterLines="0" w:line="540" w:lineRule="exact"/>
        <w:ind w:firstLine="640"/>
        <w:rPr>
          <w:rFonts w:hint="default" w:ascii="Times New Roman" w:hAnsi="Times New Roman" w:eastAsia="黑体"/>
          <w:kern w:val="0"/>
          <w:sz w:val="32"/>
        </w:rPr>
      </w:pPr>
      <w:r>
        <w:rPr>
          <w:rFonts w:hint="eastAsia" w:ascii="黑体" w:hAnsi="Times New Roman" w:eastAsia="黑体"/>
          <w:sz w:val="32"/>
          <w:lang w:val="zh-CN"/>
        </w:rPr>
        <w:t>九</w:t>
      </w:r>
      <w:r>
        <w:rPr>
          <w:rFonts w:hint="eastAsia" w:ascii="黑体" w:hAnsi="Times New Roman" w:eastAsia="黑体"/>
          <w:sz w:val="32"/>
        </w:rPr>
        <w:t>、《国有资本经营预算财政拨款收入支出决算表》</w:t>
      </w:r>
    </w:p>
    <w:p>
      <w:pPr>
        <w:autoSpaceDE w:val="0"/>
        <w:autoSpaceDN w:val="0"/>
        <w:adjustRightInd w:val="0"/>
        <w:spacing w:beforeLines="0" w:afterLines="0"/>
        <w:jc w:val="left"/>
        <w:rPr>
          <w:rFonts w:hint="default" w:ascii="Times New Roman" w:hAnsi="Times New Roman" w:eastAsia="黑体"/>
          <w:kern w:val="36"/>
          <w:sz w:val="40"/>
          <w:lang w:val="zh-CN"/>
        </w:rPr>
      </w:pPr>
    </w:p>
    <w:p>
      <w:pPr>
        <w:autoSpaceDE w:val="0"/>
        <w:autoSpaceDN w:val="0"/>
        <w:adjustRightInd w:val="0"/>
        <w:spacing w:beforeLines="0" w:afterLines="0"/>
        <w:rPr>
          <w:rFonts w:hint="default" w:ascii="Times New Roman" w:hAnsi="Times New Roman" w:eastAsia="黑体"/>
          <w:sz w:val="21"/>
        </w:rPr>
      </w:pPr>
    </w:p>
    <w:p>
      <w:pPr>
        <w:autoSpaceDE w:val="0"/>
        <w:autoSpaceDN w:val="0"/>
        <w:adjustRightInd w:val="0"/>
        <w:spacing w:beforeLines="0" w:afterLines="0"/>
        <w:jc w:val="left"/>
        <w:rPr>
          <w:rFonts w:hint="default" w:ascii="Times New Roman" w:hAnsi="Times New Roman" w:eastAsia="黑体"/>
          <w:kern w:val="36"/>
          <w:sz w:val="40"/>
          <w:lang w:val="zh-CN"/>
        </w:rPr>
      </w:pPr>
    </w:p>
    <w:p>
      <w:pPr>
        <w:autoSpaceDE w:val="0"/>
        <w:autoSpaceDN w:val="0"/>
        <w:adjustRightInd w:val="0"/>
        <w:spacing w:beforeLines="0" w:afterLines="0"/>
        <w:rPr>
          <w:rFonts w:hint="default" w:ascii="Times New Roman" w:hAnsi="Times New Roman" w:eastAsia="黑体"/>
          <w:sz w:val="21"/>
        </w:rPr>
      </w:pPr>
    </w:p>
    <w:p>
      <w:pPr>
        <w:autoSpaceDE w:val="0"/>
        <w:autoSpaceDN w:val="0"/>
        <w:adjustRightInd w:val="0"/>
        <w:spacing w:beforeLines="0" w:afterLines="0"/>
        <w:jc w:val="left"/>
        <w:rPr>
          <w:rFonts w:hint="default" w:ascii="Times New Roman" w:hAnsi="Times New Roman" w:eastAsia="黑体"/>
          <w:kern w:val="36"/>
          <w:sz w:val="40"/>
          <w:lang w:val="zh-CN"/>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F25EA"/>
    <w:multiLevelType w:val="multilevel"/>
    <w:tmpl w:val="81CF25EA"/>
    <w:lvl w:ilvl="0" w:tentative="0">
      <w:start w:val="7"/>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NDdlNDlhZGU5ZmQ3N2VlZjBjYzQxYzE2NWRiMzMifQ=="/>
  </w:docVars>
  <w:rsids>
    <w:rsidRoot w:val="00172A27"/>
    <w:rsid w:val="07FC6EB5"/>
    <w:rsid w:val="3E5E79AF"/>
    <w:rsid w:val="3ED32014"/>
    <w:rsid w:val="438C5FCF"/>
    <w:rsid w:val="64EE38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3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Calibri" w:hAnsi="Calibri" w:eastAsia="宋体" w:cs="Times New Roman"/>
      <w:kern w:val="2"/>
      <w:sz w:val="21"/>
      <w:lang w:val="en-US" w:eastAsia="zh-CN"/>
    </w:rPr>
  </w:style>
  <w:style w:type="character" w:default="1" w:styleId="3">
    <w:name w:val="Default Paragraph Font"/>
    <w:unhideWhenUsed/>
    <w:uiPriority w:val="1"/>
    <w:rPr>
      <w:rFonts w:hint="default"/>
      <w:sz w:val="24"/>
    </w:rPr>
  </w:style>
  <w:style w:type="table" w:default="1" w:styleId="2">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16</TotalTime>
  <ScaleCrop>false</ScaleCrop>
  <LinksUpToDate>false</LinksUpToDate>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2023-05-16T11:37:00Z</dcterms:created>
  <dc:creator>1</dc:creator>
  <cp:lastModifiedBy>尘尘郁夏伊</cp:lastModifiedBy>
  <dcterms:modified xsi:type="dcterms:W3CDTF">2023-08-28T04:33:44Z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B1E06BA0AB304DCA85211F812A9C131E_13</vt:lpwstr>
  </property>
</Properties>
</file>