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240" w:after="240"/>
        <w:jc w:val="center"/>
        <w:rPr>
          <w:rFonts w:hint="default" w:eastAsia="Times New Roman"/>
          <w:kern w:val="36"/>
          <w:sz w:val="40"/>
          <w:lang w:val="zh-CN"/>
        </w:rPr>
      </w:pPr>
    </w:p>
    <w:p>
      <w:pPr>
        <w:shd w:val="clear" w:color="auto" w:fill="FFFFFF"/>
        <w:spacing w:before="240" w:after="240"/>
        <w:jc w:val="center"/>
        <w:rPr>
          <w:rFonts w:hint="default" w:eastAsia="Times New Roman"/>
          <w:kern w:val="36"/>
          <w:sz w:val="40"/>
          <w:lang w:val="zh-CN"/>
        </w:rPr>
      </w:pPr>
    </w:p>
    <w:p>
      <w:pPr>
        <w:shd w:val="clear" w:color="auto" w:fill="FFFFFF"/>
        <w:spacing w:before="240" w:after="240"/>
        <w:jc w:val="center"/>
        <w:rPr>
          <w:rFonts w:hint="default" w:eastAsia="Times New Roman"/>
          <w:kern w:val="36"/>
          <w:sz w:val="40"/>
          <w:lang w:val="zh-CN"/>
        </w:rPr>
      </w:pPr>
    </w:p>
    <w:p>
      <w:pPr>
        <w:jc w:val="center"/>
        <w:rPr>
          <w:rFonts w:hint="default" w:eastAsia="Times New Roman"/>
          <w:kern w:val="36"/>
          <w:sz w:val="40"/>
          <w:lang w:val="zh-CN"/>
        </w:rPr>
      </w:pPr>
      <w:r>
        <w:rPr>
          <w:rFonts w:hint="eastAsia" w:ascii="方正小标宋_GBK" w:hAnsi="方正小标宋_GBK" w:eastAsia="方正小标宋_GBK"/>
          <w:sz w:val="44"/>
          <w:lang w:val="en-US" w:eastAsia="zh-CN"/>
        </w:rPr>
        <w:t>高新区（新市区）管委会(人民政府)办公室（外 事办公室）</w:t>
      </w:r>
      <w:r>
        <w:rPr>
          <w:rFonts w:hint="eastAsia" w:ascii="方正小标宋_GBK" w:hAnsi="方正小标宋_GBK" w:eastAsia="方正小标宋_GBK"/>
          <w:sz w:val="44"/>
          <w:lang w:val="en-US"/>
        </w:rPr>
        <w:t>2021年度部门决算公开说明</w:t>
      </w:r>
    </w:p>
    <w:p>
      <w:pPr>
        <w:shd w:val="clear" w:color="auto" w:fill="FFFFFF"/>
        <w:spacing w:before="240" w:after="240"/>
        <w:jc w:val="center"/>
        <w:rPr>
          <w:rFonts w:hint="default" w:eastAsia="Times New Roman"/>
          <w:kern w:val="36"/>
          <w:sz w:val="40"/>
          <w:lang w:val="zh-CN"/>
        </w:rPr>
      </w:pPr>
    </w:p>
    <w:p>
      <w:pPr>
        <w:spacing w:line="540" w:lineRule="exact"/>
        <w:jc w:val="center"/>
        <w:rPr>
          <w:rFonts w:hint="default" w:eastAsia="Times New Roman"/>
          <w:b/>
          <w:kern w:val="0"/>
          <w:sz w:val="24"/>
          <w:lang w:val="en-US"/>
        </w:rPr>
      </w:pPr>
      <w:r>
        <w:rPr>
          <w:rFonts w:hint="default" w:eastAsia="Times New Roman"/>
          <w:b/>
          <w:kern w:val="36"/>
          <w:sz w:val="36"/>
          <w:lang w:val="en-US"/>
        </w:rPr>
        <w:br w:type="page"/>
      </w:r>
      <w:r>
        <w:rPr>
          <w:rFonts w:hint="eastAsia" w:ascii="仿宋_GB2312" w:hAnsi="仿宋_GB2312" w:eastAsia="仿宋_GB2312"/>
          <w:b/>
          <w:kern w:val="0"/>
          <w:sz w:val="36"/>
          <w:lang w:val="en-US"/>
        </w:rPr>
        <w:t>目  录</w:t>
      </w:r>
    </w:p>
    <w:p>
      <w:pPr>
        <w:spacing w:line="540" w:lineRule="exact"/>
        <w:rPr>
          <w:rFonts w:hint="default" w:eastAsia="Times New Roman"/>
          <w:spacing w:val="0"/>
          <w:kern w:val="0"/>
          <w:sz w:val="32"/>
          <w:lang w:val="en-US"/>
        </w:rPr>
      </w:pPr>
      <w:r>
        <w:rPr>
          <w:rFonts w:hint="eastAsia" w:ascii="仿宋_GB2312" w:hAnsi="仿宋_GB2312" w:eastAsia="仿宋_GB2312"/>
          <w:b/>
          <w:spacing w:val="0"/>
          <w:kern w:val="0"/>
          <w:sz w:val="32"/>
          <w:lang w:val="en-US"/>
        </w:rPr>
        <w:t>第一部分 部门单位概况</w:t>
      </w:r>
    </w:p>
    <w:p>
      <w:pPr>
        <w:spacing w:line="540" w:lineRule="exact"/>
        <w:rPr>
          <w:rFonts w:hint="default" w:eastAsia="Times New Roman"/>
          <w:spacing w:val="0"/>
          <w:kern w:val="0"/>
          <w:sz w:val="32"/>
          <w:lang w:val="en-US"/>
        </w:rPr>
      </w:pPr>
      <w:r>
        <w:rPr>
          <w:rFonts w:hint="eastAsia" w:ascii="仿宋_GB2312" w:hAnsi="仿宋_GB2312" w:eastAsia="仿宋_GB2312"/>
          <w:spacing w:val="0"/>
          <w:kern w:val="0"/>
          <w:sz w:val="32"/>
          <w:lang w:val="en-US"/>
        </w:rPr>
        <w:t>一、主要职能</w:t>
      </w:r>
    </w:p>
    <w:p>
      <w:pPr>
        <w:spacing w:line="540" w:lineRule="exact"/>
        <w:rPr>
          <w:rFonts w:hint="default" w:eastAsia="Times New Roman"/>
          <w:spacing w:val="0"/>
          <w:kern w:val="0"/>
          <w:sz w:val="32"/>
          <w:lang w:val="en-US"/>
        </w:rPr>
      </w:pPr>
      <w:r>
        <w:rPr>
          <w:rFonts w:hint="eastAsia" w:ascii="仿宋_GB2312" w:hAnsi="仿宋_GB2312" w:eastAsia="仿宋_GB2312"/>
          <w:spacing w:val="0"/>
          <w:kern w:val="0"/>
          <w:sz w:val="32"/>
          <w:lang w:val="en-US"/>
        </w:rPr>
        <w:t>二、</w:t>
      </w:r>
      <w:r>
        <w:rPr>
          <w:rFonts w:hint="eastAsia" w:ascii="仿宋_GB2312" w:hAnsi="仿宋_GB2312" w:eastAsia="仿宋_GB2312"/>
          <w:spacing w:val="0"/>
          <w:sz w:val="32"/>
          <w:lang w:val="en-US"/>
        </w:rPr>
        <w:t>机构设置及人员情况</w:t>
      </w:r>
    </w:p>
    <w:p>
      <w:pPr>
        <w:spacing w:line="540" w:lineRule="exact"/>
        <w:rPr>
          <w:rFonts w:hint="default" w:eastAsia="Times New Roman"/>
          <w:spacing w:val="0"/>
          <w:kern w:val="0"/>
          <w:sz w:val="32"/>
          <w:lang w:val="en-US"/>
        </w:rPr>
      </w:pPr>
      <w:r>
        <w:rPr>
          <w:rFonts w:hint="eastAsia" w:ascii="仿宋_GB2312" w:hAnsi="仿宋_GB2312" w:eastAsia="仿宋_GB2312"/>
          <w:b/>
          <w:spacing w:val="0"/>
          <w:kern w:val="0"/>
          <w:sz w:val="32"/>
          <w:lang w:val="en-US"/>
        </w:rPr>
        <w:t>第二部分 部门决算情况说明</w:t>
      </w:r>
    </w:p>
    <w:p>
      <w:pPr>
        <w:spacing w:line="540" w:lineRule="exact"/>
        <w:rPr>
          <w:rFonts w:hint="default" w:eastAsia="Times New Roman"/>
          <w:spacing w:val="0"/>
          <w:sz w:val="32"/>
          <w:lang w:val="en-US"/>
        </w:rPr>
      </w:pPr>
      <w:r>
        <w:rPr>
          <w:rFonts w:hint="eastAsia" w:ascii="仿宋_GB2312" w:hAnsi="仿宋_GB2312" w:eastAsia="仿宋_GB2312"/>
          <w:spacing w:val="0"/>
          <w:sz w:val="32"/>
          <w:lang w:val="en-US"/>
        </w:rPr>
        <w:t>一、收入支出决算总体情况说明</w:t>
      </w:r>
    </w:p>
    <w:p>
      <w:pPr>
        <w:spacing w:line="540" w:lineRule="exact"/>
        <w:rPr>
          <w:rFonts w:hint="default" w:eastAsia="Times New Roman"/>
          <w:spacing w:val="0"/>
          <w:sz w:val="32"/>
          <w:lang w:val="en-US"/>
        </w:rPr>
      </w:pPr>
      <w:r>
        <w:rPr>
          <w:rFonts w:hint="eastAsia" w:ascii="仿宋_GB2312" w:hAnsi="仿宋_GB2312" w:eastAsia="仿宋_GB2312"/>
          <w:spacing w:val="0"/>
          <w:sz w:val="32"/>
          <w:lang w:val="en-US"/>
        </w:rPr>
        <w:t>二、收入决算情况说明</w:t>
      </w:r>
    </w:p>
    <w:p>
      <w:pPr>
        <w:spacing w:line="540" w:lineRule="exact"/>
        <w:rPr>
          <w:rFonts w:hint="default" w:eastAsia="Times New Roman"/>
          <w:spacing w:val="0"/>
          <w:sz w:val="32"/>
          <w:lang w:val="en-US"/>
        </w:rPr>
      </w:pPr>
      <w:r>
        <w:rPr>
          <w:rFonts w:hint="eastAsia" w:ascii="仿宋_GB2312" w:hAnsi="仿宋_GB2312" w:eastAsia="仿宋_GB2312"/>
          <w:spacing w:val="0"/>
          <w:sz w:val="32"/>
          <w:lang w:val="en-US"/>
        </w:rPr>
        <w:t>三、支出决算情况说明</w:t>
      </w:r>
    </w:p>
    <w:p>
      <w:pPr>
        <w:spacing w:line="540" w:lineRule="exact"/>
        <w:rPr>
          <w:rFonts w:hint="default" w:eastAsia="Times New Roman"/>
          <w:spacing w:val="0"/>
          <w:sz w:val="32"/>
          <w:lang w:val="en-US"/>
        </w:rPr>
      </w:pPr>
      <w:r>
        <w:rPr>
          <w:rFonts w:hint="eastAsia" w:ascii="仿宋_GB2312" w:hAnsi="仿宋_GB2312" w:eastAsia="仿宋_GB2312"/>
          <w:spacing w:val="0"/>
          <w:sz w:val="32"/>
          <w:lang w:val="en-US"/>
        </w:rPr>
        <w:t>四、财政拨款收入支出决算总体情况说明</w:t>
      </w:r>
    </w:p>
    <w:p>
      <w:pPr>
        <w:spacing w:line="540" w:lineRule="exact"/>
        <w:rPr>
          <w:rFonts w:hint="default" w:eastAsia="Times New Roman"/>
          <w:spacing w:val="0"/>
          <w:sz w:val="32"/>
          <w:lang w:val="en-US"/>
        </w:rPr>
      </w:pPr>
      <w:r>
        <w:rPr>
          <w:rFonts w:hint="eastAsia" w:ascii="仿宋_GB2312" w:hAnsi="仿宋_GB2312" w:eastAsia="仿宋_GB2312"/>
          <w:spacing w:val="0"/>
          <w:sz w:val="32"/>
          <w:lang w:val="en-US"/>
        </w:rPr>
        <w:t>五、一般公共预算财政拨款支出决算情况说明</w:t>
      </w:r>
    </w:p>
    <w:p>
      <w:pPr>
        <w:spacing w:line="540" w:lineRule="exact"/>
        <w:rPr>
          <w:rFonts w:hint="default" w:eastAsia="Times New Roman"/>
          <w:spacing w:val="0"/>
          <w:sz w:val="32"/>
          <w:lang w:val="en-US"/>
        </w:rPr>
      </w:pPr>
      <w:r>
        <w:rPr>
          <w:rFonts w:hint="eastAsia" w:ascii="仿宋_GB2312" w:hAnsi="仿宋_GB2312" w:eastAsia="仿宋_GB2312"/>
          <w:spacing w:val="0"/>
          <w:sz w:val="32"/>
          <w:lang w:val="en-US"/>
        </w:rPr>
        <w:t>六、一般公共预算财政拨款基本支出决算情况说明</w:t>
      </w:r>
    </w:p>
    <w:p>
      <w:pPr>
        <w:spacing w:line="540" w:lineRule="exact"/>
        <w:rPr>
          <w:rFonts w:hint="default" w:eastAsia="Times New Roman"/>
          <w:spacing w:val="0"/>
          <w:sz w:val="32"/>
          <w:lang w:val="en-US"/>
        </w:rPr>
      </w:pPr>
      <w:r>
        <w:rPr>
          <w:rFonts w:hint="eastAsia" w:ascii="仿宋_GB2312" w:hAnsi="仿宋_GB2312" w:eastAsia="仿宋_GB2312"/>
          <w:spacing w:val="0"/>
          <w:sz w:val="32"/>
          <w:lang w:val="en-US"/>
        </w:rPr>
        <w:t>七、一般公共预算财政拨款“三公”经费支出决算情况说明</w:t>
      </w:r>
    </w:p>
    <w:p>
      <w:pPr>
        <w:spacing w:line="540" w:lineRule="exact"/>
        <w:rPr>
          <w:rFonts w:hint="default" w:eastAsia="Times New Roman"/>
          <w:spacing w:val="0"/>
          <w:sz w:val="32"/>
          <w:lang w:val="en-US"/>
        </w:rPr>
      </w:pPr>
      <w:r>
        <w:rPr>
          <w:rFonts w:hint="eastAsia" w:ascii="仿宋_GB2312" w:hAnsi="仿宋_GB2312" w:eastAsia="仿宋_GB2312"/>
          <w:spacing w:val="0"/>
          <w:sz w:val="32"/>
          <w:lang w:val="en-US"/>
        </w:rPr>
        <w:t>八、政府性基金预算</w:t>
      </w:r>
      <w:r>
        <w:rPr>
          <w:rFonts w:hint="eastAsia" w:ascii="仿宋_GB2312" w:hAnsi="仿宋_GB2312" w:eastAsia="仿宋_GB2312"/>
          <w:spacing w:val="0"/>
          <w:sz w:val="32"/>
          <w:lang w:val="zh-CN"/>
        </w:rPr>
        <w:t>财政拨款</w:t>
      </w:r>
      <w:r>
        <w:rPr>
          <w:rFonts w:hint="eastAsia" w:ascii="仿宋_GB2312" w:hAnsi="仿宋_GB2312" w:eastAsia="仿宋_GB2312"/>
          <w:spacing w:val="0"/>
          <w:sz w:val="32"/>
          <w:lang w:val="en-US"/>
        </w:rPr>
        <w:t>收入支出决算情况说明</w:t>
      </w:r>
    </w:p>
    <w:p>
      <w:pPr>
        <w:spacing w:line="540" w:lineRule="exact"/>
        <w:rPr>
          <w:rFonts w:hint="default" w:eastAsia="Times New Roman"/>
          <w:spacing w:val="0"/>
          <w:sz w:val="32"/>
          <w:lang w:val="en-US"/>
        </w:rPr>
      </w:pPr>
      <w:r>
        <w:rPr>
          <w:rFonts w:hint="eastAsia" w:ascii="仿宋_GB2312" w:hAnsi="仿宋_GB2312" w:eastAsia="仿宋_GB2312"/>
          <w:spacing w:val="0"/>
          <w:sz w:val="32"/>
          <w:lang w:val="en-US"/>
        </w:rPr>
        <w:t>九、国有资本经营预算财政拨款收入支出决算情况说明</w:t>
      </w:r>
    </w:p>
    <w:p>
      <w:pPr>
        <w:spacing w:line="540" w:lineRule="exact"/>
        <w:rPr>
          <w:rFonts w:hint="default" w:eastAsia="Times New Roman"/>
          <w:spacing w:val="0"/>
          <w:sz w:val="32"/>
          <w:lang w:val="en-US"/>
        </w:rPr>
      </w:pPr>
      <w:r>
        <w:rPr>
          <w:rFonts w:hint="eastAsia" w:ascii="仿宋_GB2312" w:hAnsi="仿宋_GB2312" w:eastAsia="仿宋_GB2312"/>
          <w:spacing w:val="0"/>
          <w:sz w:val="32"/>
          <w:lang w:val="en-US"/>
        </w:rPr>
        <w:t>十、其他重要事项的情况说明</w:t>
      </w:r>
    </w:p>
    <w:p>
      <w:pPr>
        <w:spacing w:line="540" w:lineRule="exact"/>
        <w:rPr>
          <w:rFonts w:hint="default" w:eastAsia="Times New Roman"/>
          <w:spacing w:val="0"/>
          <w:sz w:val="32"/>
          <w:lang w:val="en-US"/>
        </w:rPr>
      </w:pPr>
      <w:r>
        <w:rPr>
          <w:rFonts w:hint="eastAsia" w:ascii="仿宋_GB2312" w:hAnsi="仿宋_GB2312" w:eastAsia="仿宋_GB2312"/>
          <w:spacing w:val="0"/>
          <w:sz w:val="32"/>
          <w:lang w:val="en-US"/>
        </w:rPr>
        <w:t>（一）机关运行经费支出情况</w:t>
      </w:r>
    </w:p>
    <w:p>
      <w:pPr>
        <w:spacing w:line="540" w:lineRule="exact"/>
        <w:rPr>
          <w:rFonts w:hint="default" w:eastAsia="Times New Roman"/>
          <w:spacing w:val="0"/>
          <w:sz w:val="32"/>
          <w:lang w:val="en-US"/>
        </w:rPr>
      </w:pPr>
      <w:r>
        <w:rPr>
          <w:rFonts w:hint="eastAsia" w:ascii="仿宋_GB2312" w:hAnsi="仿宋_GB2312" w:eastAsia="仿宋_GB2312"/>
          <w:spacing w:val="0"/>
          <w:sz w:val="32"/>
          <w:lang w:val="en-US"/>
        </w:rPr>
        <w:t>（二）政府采购情况</w:t>
      </w:r>
    </w:p>
    <w:p>
      <w:pPr>
        <w:spacing w:line="540" w:lineRule="exact"/>
        <w:rPr>
          <w:rFonts w:hint="default" w:eastAsia="Times New Roman"/>
          <w:spacing w:val="0"/>
          <w:sz w:val="32"/>
          <w:lang w:val="en-US"/>
        </w:rPr>
      </w:pPr>
      <w:r>
        <w:rPr>
          <w:rFonts w:hint="eastAsia" w:ascii="仿宋_GB2312" w:hAnsi="仿宋_GB2312" w:eastAsia="仿宋_GB2312"/>
          <w:spacing w:val="0"/>
          <w:sz w:val="32"/>
          <w:lang w:val="en-US"/>
        </w:rPr>
        <w:t>（三）国有资产占用情况说明</w:t>
      </w:r>
    </w:p>
    <w:p>
      <w:pPr>
        <w:spacing w:line="540" w:lineRule="exact"/>
        <w:rPr>
          <w:rFonts w:hint="default" w:eastAsia="Times New Roman"/>
          <w:spacing w:val="0"/>
          <w:sz w:val="32"/>
          <w:lang w:val="en-US"/>
        </w:rPr>
      </w:pPr>
      <w:r>
        <w:rPr>
          <w:rFonts w:hint="eastAsia" w:ascii="仿宋_GB2312" w:hAnsi="仿宋_GB2312" w:eastAsia="仿宋_GB2312"/>
          <w:spacing w:val="0"/>
          <w:sz w:val="32"/>
          <w:lang w:val="en-US"/>
        </w:rPr>
        <w:t>十</w:t>
      </w:r>
      <w:r>
        <w:rPr>
          <w:rFonts w:hint="eastAsia" w:ascii="仿宋_GB2312" w:hAnsi="仿宋_GB2312" w:eastAsia="仿宋_GB2312"/>
          <w:spacing w:val="0"/>
          <w:sz w:val="32"/>
          <w:lang w:val="zh-CN"/>
        </w:rPr>
        <w:t>一</w:t>
      </w:r>
      <w:r>
        <w:rPr>
          <w:rFonts w:hint="eastAsia" w:ascii="仿宋_GB2312" w:hAnsi="仿宋_GB2312" w:eastAsia="仿宋_GB2312"/>
          <w:spacing w:val="0"/>
          <w:sz w:val="32"/>
          <w:lang w:val="en-US"/>
        </w:rPr>
        <w:t>、预算绩效的情况说明</w:t>
      </w:r>
    </w:p>
    <w:p>
      <w:pPr>
        <w:spacing w:line="540" w:lineRule="exact"/>
        <w:rPr>
          <w:rFonts w:hint="default" w:eastAsia="Times New Roman"/>
          <w:b/>
          <w:spacing w:val="0"/>
          <w:kern w:val="0"/>
          <w:sz w:val="32"/>
          <w:lang w:val="en-US"/>
        </w:rPr>
      </w:pPr>
      <w:r>
        <w:rPr>
          <w:rFonts w:hint="eastAsia" w:ascii="仿宋_GB2312" w:hAnsi="仿宋_GB2312" w:eastAsia="仿宋_GB2312"/>
          <w:b/>
          <w:spacing w:val="0"/>
          <w:kern w:val="0"/>
          <w:sz w:val="32"/>
          <w:lang w:val="en-US"/>
        </w:rPr>
        <w:t>第三部分 专业名词解释</w:t>
      </w:r>
    </w:p>
    <w:p>
      <w:pPr>
        <w:spacing w:line="540" w:lineRule="exact"/>
        <w:rPr>
          <w:rFonts w:hint="default" w:eastAsia="Times New Roman"/>
          <w:b/>
          <w:spacing w:val="0"/>
          <w:kern w:val="0"/>
          <w:sz w:val="32"/>
          <w:lang w:val="en-US"/>
        </w:rPr>
      </w:pPr>
      <w:r>
        <w:rPr>
          <w:rFonts w:hint="eastAsia" w:ascii="仿宋_GB2312" w:hAnsi="仿宋_GB2312" w:eastAsia="仿宋_GB2312"/>
          <w:b/>
          <w:spacing w:val="0"/>
          <w:kern w:val="0"/>
          <w:sz w:val="32"/>
          <w:lang w:val="en-US"/>
        </w:rPr>
        <w:t>第四部分 部</w:t>
      </w:r>
      <w:r>
        <w:rPr>
          <w:rFonts w:hint="eastAsia" w:ascii="仿宋_GB2312" w:hAnsi="仿宋_GB2312" w:eastAsia="仿宋_GB2312"/>
          <w:b/>
          <w:spacing w:val="0"/>
          <w:sz w:val="32"/>
          <w:lang w:val="en-US"/>
        </w:rPr>
        <w:t>门决算报表（见附表）</w:t>
      </w:r>
    </w:p>
    <w:p>
      <w:pPr>
        <w:spacing w:line="540" w:lineRule="exact"/>
        <w:rPr>
          <w:rFonts w:hint="default" w:eastAsia="Times New Roman"/>
          <w:spacing w:val="0"/>
          <w:sz w:val="32"/>
          <w:lang w:val="en-US"/>
        </w:rPr>
      </w:pPr>
      <w:r>
        <w:rPr>
          <w:rFonts w:hint="eastAsia" w:ascii="仿宋_GB2312" w:hAnsi="仿宋_GB2312" w:eastAsia="仿宋_GB2312"/>
          <w:spacing w:val="0"/>
          <w:sz w:val="32"/>
          <w:lang w:val="en-US"/>
        </w:rPr>
        <w:t>一、《收入支出决算总表》</w:t>
      </w:r>
    </w:p>
    <w:p>
      <w:pPr>
        <w:spacing w:line="540" w:lineRule="exact"/>
        <w:rPr>
          <w:rFonts w:hint="default" w:eastAsia="Times New Roman"/>
          <w:spacing w:val="0"/>
          <w:sz w:val="32"/>
          <w:lang w:val="en-US"/>
        </w:rPr>
      </w:pPr>
      <w:r>
        <w:rPr>
          <w:rFonts w:hint="eastAsia" w:ascii="仿宋_GB2312" w:hAnsi="仿宋_GB2312" w:eastAsia="仿宋_GB2312"/>
          <w:spacing w:val="0"/>
          <w:sz w:val="32"/>
          <w:lang w:val="en-US"/>
        </w:rPr>
        <w:t>二、《收入决算表》</w:t>
      </w:r>
    </w:p>
    <w:p>
      <w:pPr>
        <w:spacing w:line="540" w:lineRule="exact"/>
        <w:rPr>
          <w:rFonts w:hint="default" w:eastAsia="Times New Roman"/>
          <w:spacing w:val="0"/>
          <w:sz w:val="32"/>
          <w:lang w:val="en-US"/>
        </w:rPr>
      </w:pPr>
      <w:r>
        <w:rPr>
          <w:rFonts w:hint="eastAsia" w:ascii="仿宋_GB2312" w:hAnsi="仿宋_GB2312" w:eastAsia="仿宋_GB2312"/>
          <w:spacing w:val="0"/>
          <w:sz w:val="32"/>
          <w:lang w:val="en-US"/>
        </w:rPr>
        <w:t>三、《支出决算表》</w:t>
      </w:r>
    </w:p>
    <w:p>
      <w:pPr>
        <w:spacing w:line="540" w:lineRule="exact"/>
        <w:rPr>
          <w:rFonts w:hint="default" w:eastAsia="Times New Roman"/>
          <w:spacing w:val="0"/>
          <w:sz w:val="32"/>
          <w:lang w:val="en-US"/>
        </w:rPr>
      </w:pPr>
      <w:r>
        <w:rPr>
          <w:rFonts w:hint="eastAsia" w:ascii="仿宋_GB2312" w:hAnsi="仿宋_GB2312" w:eastAsia="仿宋_GB2312"/>
          <w:spacing w:val="0"/>
          <w:sz w:val="32"/>
          <w:lang w:val="en-US"/>
        </w:rPr>
        <w:t>四、《财政拨款收入支出决算总表》</w:t>
      </w:r>
    </w:p>
    <w:p>
      <w:pPr>
        <w:spacing w:line="540" w:lineRule="exact"/>
        <w:rPr>
          <w:rFonts w:hint="default" w:eastAsia="Times New Roman"/>
          <w:spacing w:val="0"/>
          <w:sz w:val="32"/>
          <w:lang w:val="en-US"/>
        </w:rPr>
      </w:pPr>
      <w:r>
        <w:rPr>
          <w:rFonts w:hint="eastAsia" w:ascii="仿宋_GB2312" w:hAnsi="仿宋_GB2312" w:eastAsia="仿宋_GB2312"/>
          <w:spacing w:val="0"/>
          <w:sz w:val="32"/>
          <w:lang w:val="en-US"/>
        </w:rPr>
        <w:t>五、《一般公共预算财政拨款支出决算表》</w:t>
      </w:r>
    </w:p>
    <w:p>
      <w:pPr>
        <w:spacing w:line="540" w:lineRule="exact"/>
        <w:rPr>
          <w:rFonts w:hint="default" w:eastAsia="Times New Roman"/>
          <w:spacing w:val="0"/>
          <w:sz w:val="32"/>
          <w:lang w:val="en-US"/>
        </w:rPr>
      </w:pPr>
      <w:r>
        <w:rPr>
          <w:rFonts w:hint="eastAsia" w:ascii="仿宋_GB2312" w:hAnsi="仿宋_GB2312" w:eastAsia="仿宋_GB2312"/>
          <w:spacing w:val="0"/>
          <w:sz w:val="32"/>
          <w:lang w:val="en-US"/>
        </w:rPr>
        <w:t>六、《一般公共预算财政拨款基本支出决算表》</w:t>
      </w:r>
    </w:p>
    <w:p>
      <w:pPr>
        <w:spacing w:line="540" w:lineRule="exact"/>
        <w:rPr>
          <w:rFonts w:hint="default" w:eastAsia="Times New Roman"/>
          <w:spacing w:val="0"/>
          <w:sz w:val="32"/>
          <w:lang w:val="en-US"/>
        </w:rPr>
      </w:pPr>
      <w:r>
        <w:rPr>
          <w:rFonts w:hint="eastAsia" w:ascii="仿宋_GB2312" w:hAnsi="仿宋_GB2312" w:eastAsia="仿宋_GB2312"/>
          <w:spacing w:val="0"/>
          <w:sz w:val="32"/>
          <w:lang w:val="en-US"/>
        </w:rPr>
        <w:t>七、《一般公共预算财政拨款“三公”经费支出决算表》</w:t>
      </w:r>
    </w:p>
    <w:p>
      <w:pPr>
        <w:spacing w:line="540" w:lineRule="exact"/>
        <w:rPr>
          <w:rFonts w:hint="default" w:eastAsia="Times New Roman"/>
          <w:spacing w:val="0"/>
          <w:sz w:val="32"/>
          <w:lang w:val="en-US"/>
        </w:rPr>
      </w:pPr>
      <w:r>
        <w:rPr>
          <w:rFonts w:hint="eastAsia" w:ascii="仿宋_GB2312" w:hAnsi="仿宋_GB2312" w:eastAsia="仿宋_GB2312"/>
          <w:spacing w:val="0"/>
          <w:sz w:val="32"/>
          <w:lang w:val="en-US"/>
        </w:rPr>
        <w:t>八、《政府性基金预算财政拨款收入支出决算表》</w:t>
      </w:r>
    </w:p>
    <w:p>
      <w:pPr>
        <w:spacing w:line="540" w:lineRule="exact"/>
        <w:rPr>
          <w:rFonts w:hint="default" w:eastAsia="Times New Roman"/>
          <w:spacing w:val="0"/>
          <w:sz w:val="32"/>
          <w:lang w:val="en-US"/>
        </w:rPr>
      </w:pPr>
      <w:r>
        <w:rPr>
          <w:rFonts w:hint="eastAsia" w:ascii="仿宋_GB2312" w:hAnsi="仿宋_GB2312" w:eastAsia="仿宋_GB2312"/>
          <w:spacing w:val="0"/>
          <w:sz w:val="32"/>
          <w:lang w:val="en-US"/>
        </w:rPr>
        <w:t>九、《国有资本经营预算财政拨款收入支出决算表》</w:t>
      </w:r>
    </w:p>
    <w:p>
      <w:pPr>
        <w:spacing w:line="540" w:lineRule="exact"/>
        <w:ind w:firstLine="640"/>
        <w:rPr>
          <w:rFonts w:hint="default" w:eastAsia="Times New Roman"/>
          <w:b/>
          <w:spacing w:val="0"/>
          <w:kern w:val="0"/>
          <w:sz w:val="28"/>
          <w:lang w:val="en-US"/>
        </w:rPr>
      </w:pPr>
    </w:p>
    <w:p>
      <w:pPr>
        <w:shd w:val="clear" w:color="auto" w:fill="FFFFFF"/>
        <w:spacing w:line="360" w:lineRule="auto"/>
        <w:jc w:val="center"/>
        <w:rPr>
          <w:rFonts w:hint="default" w:eastAsia="Times New Roman"/>
          <w:spacing w:val="0"/>
          <w:kern w:val="0"/>
          <w:sz w:val="32"/>
          <w:lang w:val="en-US"/>
        </w:rPr>
      </w:pPr>
    </w:p>
    <w:p>
      <w:pPr>
        <w:shd w:val="clear" w:color="auto" w:fill="FFFFFF"/>
        <w:spacing w:line="360" w:lineRule="auto"/>
        <w:jc w:val="center"/>
        <w:rPr>
          <w:rFonts w:hint="eastAsia" w:ascii="黑体" w:hAnsi="黑体" w:eastAsia="黑体"/>
          <w:spacing w:val="0"/>
          <w:kern w:val="0"/>
          <w:sz w:val="32"/>
          <w:lang w:val="ar-SA"/>
        </w:rPr>
      </w:pPr>
      <w:r>
        <w:rPr>
          <w:rFonts w:hint="default" w:eastAsia="Times New Roman"/>
          <w:spacing w:val="0"/>
          <w:kern w:val="0"/>
          <w:sz w:val="32"/>
          <w:lang w:val="en-US"/>
        </w:rPr>
        <w:br w:type="page"/>
      </w:r>
      <w:r>
        <w:rPr>
          <w:rFonts w:hint="eastAsia" w:ascii="黑体" w:hAnsi="黑体" w:eastAsia="黑体"/>
          <w:spacing w:val="0"/>
          <w:kern w:val="0"/>
          <w:sz w:val="32"/>
          <w:lang w:val="en-US"/>
        </w:rPr>
        <w:t>第一部分 部门单位概况</w:t>
      </w:r>
    </w:p>
    <w:p>
      <w:pPr>
        <w:spacing w:line="360" w:lineRule="auto"/>
        <w:ind w:firstLine="640"/>
        <w:rPr>
          <w:rFonts w:hint="eastAsia" w:ascii="黑体" w:hAnsi="黑体" w:eastAsia="黑体"/>
          <w:spacing w:val="0"/>
          <w:sz w:val="32"/>
          <w:lang w:val="zh-CN"/>
        </w:rPr>
      </w:pPr>
      <w:r>
        <w:rPr>
          <w:rFonts w:hint="eastAsia" w:ascii="黑体" w:hAnsi="黑体" w:eastAsia="黑体"/>
          <w:spacing w:val="0"/>
          <w:sz w:val="32"/>
          <w:lang w:val="zh-CN"/>
        </w:rPr>
        <w:t>一、主要职能</w:t>
      </w:r>
    </w:p>
    <w:p>
      <w:pPr>
        <w:widowControl w:val="0"/>
        <w:spacing w:line="560" w:lineRule="exact"/>
        <w:ind w:firstLine="640" w:firstLineChars="200"/>
        <w:rPr>
          <w:rFonts w:hint="default" w:eastAsia="方正仿宋_GBK"/>
          <w:spacing w:val="0"/>
          <w:sz w:val="32"/>
        </w:rPr>
      </w:pPr>
      <w:r>
        <w:rPr>
          <w:rFonts w:hint="eastAsia" w:eastAsia="方正仿宋_GBK"/>
          <w:spacing w:val="0"/>
          <w:sz w:val="32"/>
        </w:rPr>
        <w:t>（一）负责管委会（区人民政府）日常工作的综合协调，承担与区委、人大、政协、纪委监委办公室以及驻区部队、各民主党派的协调联系工作。</w:t>
      </w:r>
    </w:p>
    <w:p>
      <w:pPr>
        <w:widowControl w:val="0"/>
        <w:spacing w:line="560" w:lineRule="exact"/>
        <w:ind w:firstLine="640" w:firstLineChars="200"/>
        <w:rPr>
          <w:rFonts w:hint="default" w:eastAsia="方正仿宋_GBK"/>
          <w:spacing w:val="0"/>
          <w:sz w:val="32"/>
        </w:rPr>
      </w:pPr>
      <w:r>
        <w:rPr>
          <w:rFonts w:hint="eastAsia" w:eastAsia="方正仿宋_GBK"/>
          <w:spacing w:val="0"/>
          <w:sz w:val="32"/>
        </w:rPr>
        <w:t>（二）负责管委会（区人民政府）日常文电的处理工作，承担管委会（区人民政府）、管委会（区人民政府）办公室（管委会&lt;区人民政府&gt;外事办公室）文件文稿的草拟、修改、审核和制发、立卷、归档工作。</w:t>
      </w:r>
    </w:p>
    <w:p>
      <w:pPr>
        <w:widowControl w:val="0"/>
        <w:spacing w:line="560" w:lineRule="exact"/>
        <w:ind w:firstLine="640" w:firstLineChars="200"/>
        <w:rPr>
          <w:rFonts w:hint="default" w:eastAsia="方正仿宋_GBK"/>
          <w:spacing w:val="0"/>
          <w:sz w:val="32"/>
        </w:rPr>
      </w:pPr>
      <w:r>
        <w:rPr>
          <w:rFonts w:hint="eastAsia" w:eastAsia="方正仿宋_GBK"/>
          <w:spacing w:val="0"/>
          <w:sz w:val="32"/>
        </w:rPr>
        <w:t>（三）研究管委会（区人民政府）各部门、各乡镇、片区请示管委会（区人民政府）的事项，提出审核意见，报管委会（区人民政府）领导同志审定。</w:t>
      </w:r>
    </w:p>
    <w:p>
      <w:pPr>
        <w:widowControl w:val="0"/>
        <w:spacing w:line="560" w:lineRule="exact"/>
        <w:ind w:firstLine="640" w:firstLineChars="200"/>
        <w:rPr>
          <w:rFonts w:hint="default" w:eastAsia="方正仿宋_GBK"/>
          <w:spacing w:val="0"/>
          <w:sz w:val="32"/>
        </w:rPr>
      </w:pPr>
      <w:r>
        <w:rPr>
          <w:rFonts w:hint="eastAsia" w:eastAsia="方正仿宋_GBK"/>
          <w:spacing w:val="0"/>
          <w:sz w:val="32"/>
        </w:rPr>
        <w:t>（四）负责督促检查管委会（区人民政府）公文、会议决定事项及管委会（区人民政府）领导同志指示的贯彻落实情况并跟踪调研，及时向管委会（区人民政府）领导同志报告；负责人大代表建议意见和政协委员提案的督办工作。</w:t>
      </w:r>
    </w:p>
    <w:p>
      <w:pPr>
        <w:widowControl w:val="0"/>
        <w:spacing w:line="560" w:lineRule="exact"/>
        <w:ind w:firstLine="640" w:firstLineChars="200"/>
        <w:rPr>
          <w:rFonts w:hint="default" w:eastAsia="方正仿宋_GBK"/>
          <w:spacing w:val="0"/>
          <w:sz w:val="32"/>
        </w:rPr>
      </w:pPr>
      <w:r>
        <w:rPr>
          <w:rFonts w:hint="eastAsia" w:eastAsia="方正仿宋_GBK"/>
          <w:spacing w:val="0"/>
          <w:sz w:val="32"/>
        </w:rPr>
        <w:t>（五）负责管委会（区人民政府）召开会议的筹备、组织和服务工作；负责管委会（区人民政府）领导同志的公务活动安排，负责国家、自治区、市和各地政府领导来我区进行公务活动的组织协调和接待服务工作。</w:t>
      </w:r>
    </w:p>
    <w:p>
      <w:pPr>
        <w:widowControl w:val="0"/>
        <w:spacing w:line="560" w:lineRule="exact"/>
        <w:ind w:firstLine="640" w:firstLineChars="200"/>
        <w:rPr>
          <w:rFonts w:hint="default" w:eastAsia="方正仿宋_GBK"/>
          <w:spacing w:val="0"/>
          <w:sz w:val="32"/>
        </w:rPr>
      </w:pPr>
      <w:r>
        <w:rPr>
          <w:rFonts w:hint="eastAsia" w:eastAsia="方正仿宋_GBK"/>
          <w:spacing w:val="0"/>
          <w:sz w:val="32"/>
        </w:rPr>
        <w:t>（六）承担管委会（区人民政府）政务值班工作，及时向管委会（区人民政府）领导同志报告重要情况，协助处理各部门和乡镇、片区向管委会（区人民政府）反映的重要问题，传达和督促落实管委会（区人民政府）领导同志的指示。</w:t>
      </w:r>
    </w:p>
    <w:p>
      <w:pPr>
        <w:widowControl w:val="0"/>
        <w:spacing w:line="560" w:lineRule="exact"/>
        <w:ind w:firstLine="640" w:firstLineChars="200"/>
        <w:rPr>
          <w:rFonts w:hint="default" w:eastAsia="方正仿宋_GBK"/>
          <w:spacing w:val="0"/>
          <w:sz w:val="32"/>
        </w:rPr>
      </w:pPr>
      <w:r>
        <w:rPr>
          <w:rFonts w:hint="eastAsia" w:eastAsia="方正仿宋_GBK"/>
          <w:spacing w:val="0"/>
          <w:sz w:val="32"/>
        </w:rPr>
        <w:t>（七）负责指导、监督政务公开、政府信息公开及行政审批制度改革工作，协调推进“放管服”改革工作。</w:t>
      </w:r>
    </w:p>
    <w:p>
      <w:pPr>
        <w:widowControl w:val="0"/>
        <w:spacing w:line="560" w:lineRule="exact"/>
        <w:ind w:firstLine="640" w:firstLineChars="200"/>
        <w:rPr>
          <w:rFonts w:hint="default" w:eastAsia="方正仿宋_GBK"/>
          <w:spacing w:val="0"/>
          <w:sz w:val="32"/>
        </w:rPr>
      </w:pPr>
      <w:r>
        <w:rPr>
          <w:rFonts w:hint="eastAsia" w:eastAsia="方正仿宋_GBK"/>
          <w:spacing w:val="0"/>
          <w:sz w:val="32"/>
        </w:rPr>
        <w:t>（八）根据管委会（区人民政府）的工作重点和管委会（区人民政府）领导同志的指示，组织专题调查研究，及时反映情况，提出建议。</w:t>
      </w:r>
    </w:p>
    <w:p>
      <w:pPr>
        <w:widowControl w:val="0"/>
        <w:spacing w:line="560" w:lineRule="exact"/>
        <w:ind w:firstLine="640" w:firstLineChars="200"/>
        <w:rPr>
          <w:rFonts w:hint="default" w:eastAsia="方正仿宋_GBK"/>
          <w:spacing w:val="0"/>
          <w:sz w:val="32"/>
        </w:rPr>
      </w:pPr>
      <w:r>
        <w:rPr>
          <w:rFonts w:hint="eastAsia" w:eastAsia="方正仿宋_GBK"/>
          <w:spacing w:val="0"/>
          <w:sz w:val="32"/>
        </w:rPr>
        <w:t>（九）负责政府信息的收集、整理和报送工作，指导全区政务信息工作。</w:t>
      </w:r>
    </w:p>
    <w:p>
      <w:pPr>
        <w:widowControl w:val="0"/>
        <w:spacing w:line="560" w:lineRule="exact"/>
        <w:ind w:firstLine="640" w:firstLineChars="200"/>
        <w:rPr>
          <w:rFonts w:hint="default" w:eastAsia="方正仿宋_GBK"/>
          <w:spacing w:val="0"/>
          <w:sz w:val="32"/>
        </w:rPr>
      </w:pPr>
      <w:r>
        <w:rPr>
          <w:rFonts w:hint="eastAsia" w:eastAsia="方正仿宋_GBK"/>
          <w:spacing w:val="0"/>
          <w:sz w:val="32"/>
        </w:rPr>
        <w:t>（十）负责管委会（区人民政府）系统电子政务的组织、规划、协调和指导工作；负责政府门户网站建设管理。</w:t>
      </w:r>
    </w:p>
    <w:p>
      <w:pPr>
        <w:widowControl w:val="0"/>
        <w:spacing w:line="560" w:lineRule="exact"/>
        <w:ind w:firstLine="640" w:firstLineChars="200"/>
        <w:rPr>
          <w:rFonts w:hint="default" w:eastAsia="方正仿宋_GBK"/>
          <w:spacing w:val="0"/>
          <w:sz w:val="32"/>
        </w:rPr>
      </w:pPr>
      <w:r>
        <w:rPr>
          <w:rFonts w:hint="eastAsia" w:eastAsia="方正仿宋_GBK"/>
          <w:spacing w:val="0"/>
          <w:sz w:val="32"/>
        </w:rPr>
        <w:t>（十一）根据我区经济建设和社会发展及对外开放的需要，开展调查研究，为区委、管委会（区人民政府）对外工作决策提出建议；利用对外交往渠道，为全区经济建设和社会发展服务。</w:t>
      </w:r>
    </w:p>
    <w:p>
      <w:pPr>
        <w:widowControl w:val="0"/>
        <w:spacing w:line="560" w:lineRule="exact"/>
        <w:ind w:firstLine="640" w:firstLineChars="200"/>
        <w:rPr>
          <w:rFonts w:hint="default" w:eastAsia="方正仿宋_GBK"/>
          <w:spacing w:val="0"/>
          <w:sz w:val="32"/>
        </w:rPr>
      </w:pPr>
      <w:r>
        <w:rPr>
          <w:rFonts w:hint="eastAsia" w:eastAsia="方正仿宋_GBK"/>
          <w:spacing w:val="0"/>
          <w:sz w:val="32"/>
        </w:rPr>
        <w:t>（十二）负责组织接待来访或进行公务活动的重要外宾、外国驻华外交人员和华侨、华人、港澳同胞。</w:t>
      </w:r>
    </w:p>
    <w:p>
      <w:pPr>
        <w:widowControl w:val="0"/>
        <w:spacing w:line="560" w:lineRule="exact"/>
        <w:ind w:firstLine="640" w:firstLineChars="200"/>
        <w:rPr>
          <w:rFonts w:hint="default" w:eastAsia="方正仿宋_GBK"/>
          <w:spacing w:val="0"/>
          <w:sz w:val="32"/>
        </w:rPr>
      </w:pPr>
      <w:r>
        <w:rPr>
          <w:rFonts w:hint="eastAsia" w:eastAsia="方正仿宋_GBK"/>
          <w:spacing w:val="0"/>
          <w:sz w:val="32"/>
        </w:rPr>
        <w:t>（十三）负责对区属各部门、各单位涉外事务进行政策和业务指导。会同有关部门检查外事纪律及国家安全、保密制度的执行情况，及时向有关部门提出违反外事纪律问题的处理意见和建议。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Times New Roman"/>
          <w:spacing w:val="0"/>
          <w:sz w:val="32"/>
          <w:lang w:val="zh-CN"/>
        </w:rPr>
      </w:pPr>
      <w:r>
        <w:rPr>
          <w:rFonts w:hint="eastAsia" w:eastAsia="方正仿宋_GBK"/>
          <w:spacing w:val="0"/>
          <w:sz w:val="32"/>
        </w:rPr>
        <w:t>（十四）承办区委、管委会（区人民政府）和管委会（区人民政府）领导同志交办的其他事项。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eastAsia="Times New Roman"/>
          <w:spacing w:val="0"/>
          <w:sz w:val="32"/>
          <w:lang w:val="zh-CN"/>
        </w:rPr>
      </w:pPr>
      <w:r>
        <w:rPr>
          <w:rFonts w:hint="eastAsia" w:ascii="黑体" w:hAnsi="黑体" w:eastAsia="黑体"/>
          <w:spacing w:val="0"/>
          <w:sz w:val="32"/>
          <w:lang w:val="zh-CN"/>
        </w:rPr>
        <w:t>二、机构设置及人员情况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eastAsia="Times New Roman"/>
          <w:spacing w:val="0"/>
          <w:kern w:val="0"/>
          <w:sz w:val="32"/>
          <w:lang w:val="en-US"/>
        </w:rPr>
      </w:pPr>
      <w:r>
        <w:rPr>
          <w:rFonts w:hint="eastAsia" w:ascii="仿宋_GB2312" w:hAnsi="仿宋_GB2312" w:eastAsia="仿宋_GB2312"/>
          <w:spacing w:val="0"/>
          <w:kern w:val="0"/>
          <w:sz w:val="32"/>
          <w:lang w:val="en-US" w:eastAsia="zh-CN"/>
        </w:rPr>
        <w:t>高新区（新市区）管委会(人民政府)办公室（外事办公室）</w:t>
      </w:r>
      <w:r>
        <w:rPr>
          <w:rFonts w:hint="eastAsia" w:ascii="仿宋_GB2312" w:hAnsi="仿宋_GB2312" w:eastAsia="仿宋_GB2312"/>
          <w:spacing w:val="0"/>
          <w:kern w:val="0"/>
          <w:sz w:val="32"/>
          <w:lang w:val="en-US"/>
        </w:rPr>
        <w:t>2021年度，实有人数36人，其中：在职人员36人，离休人员0人，退休人员0人。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pacing w:val="0"/>
          <w:kern w:val="0"/>
          <w:sz w:val="32"/>
          <w:lang w:val="ar-SA" w:eastAsia="zh-CN"/>
        </w:rPr>
      </w:pPr>
      <w:r>
        <w:rPr>
          <w:rFonts w:hint="eastAsia" w:ascii="仿宋_GB2312" w:hAnsi="仿宋_GB2312" w:eastAsia="仿宋_GB2312"/>
          <w:spacing w:val="0"/>
          <w:kern w:val="0"/>
          <w:sz w:val="32"/>
          <w:lang w:val="en-US"/>
        </w:rPr>
        <w:t>从部门决算单位构成看，</w:t>
      </w:r>
      <w:r>
        <w:rPr>
          <w:rFonts w:hint="eastAsia" w:ascii="仿宋_GB2312" w:hAnsi="仿宋_GB2312" w:eastAsia="仿宋_GB2312"/>
          <w:spacing w:val="0"/>
          <w:kern w:val="0"/>
          <w:sz w:val="32"/>
          <w:lang w:val="en-US" w:eastAsia="zh-CN"/>
        </w:rPr>
        <w:t>高新区（新市区）管委会(人民政府)办公室（外事办公室）</w:t>
      </w:r>
      <w:r>
        <w:rPr>
          <w:rFonts w:hint="eastAsia" w:ascii="仿宋_GB2312" w:hAnsi="仿宋_GB2312" w:eastAsia="仿宋_GB2312"/>
          <w:spacing w:val="0"/>
          <w:kern w:val="0"/>
          <w:sz w:val="32"/>
          <w:lang w:val="en-US"/>
        </w:rPr>
        <w:t>部门决算包括：</w:t>
      </w:r>
      <w:r>
        <w:rPr>
          <w:rFonts w:hint="eastAsia" w:ascii="仿宋_GB2312" w:hAnsi="仿宋_GB2312" w:eastAsia="仿宋_GB2312"/>
          <w:spacing w:val="0"/>
          <w:kern w:val="0"/>
          <w:sz w:val="32"/>
          <w:lang w:val="en-US" w:eastAsia="zh-CN"/>
        </w:rPr>
        <w:t>高新区（新市区）管委会(人民政府)办公室（外事办公室）</w:t>
      </w:r>
      <w:r>
        <w:rPr>
          <w:rFonts w:hint="eastAsia" w:ascii="仿宋_GB2312" w:hAnsi="仿宋_GB2312" w:eastAsia="仿宋_GB2312"/>
          <w:spacing w:val="0"/>
          <w:kern w:val="0"/>
          <w:sz w:val="32"/>
          <w:lang w:val="zh-CN"/>
        </w:rPr>
        <w:t>决算。单位无下属预算单位，下设</w:t>
      </w:r>
      <w:r>
        <w:rPr>
          <w:rFonts w:hint="eastAsia" w:ascii="仿宋_GB2312" w:hAnsi="仿宋_GB2312" w:eastAsia="仿宋_GB2312"/>
          <w:spacing w:val="0"/>
          <w:kern w:val="0"/>
          <w:sz w:val="32"/>
          <w:lang w:val="en-US" w:eastAsia="zh-CN"/>
        </w:rPr>
        <w:t>3</w:t>
      </w:r>
      <w:r>
        <w:rPr>
          <w:rFonts w:hint="eastAsia" w:ascii="仿宋_GB2312" w:hAnsi="仿宋_GB2312" w:eastAsia="仿宋_GB2312"/>
          <w:spacing w:val="0"/>
          <w:kern w:val="0"/>
          <w:sz w:val="32"/>
          <w:lang w:val="zh-CN"/>
        </w:rPr>
        <w:t>个科室，分别是：</w:t>
      </w:r>
      <w:r>
        <w:rPr>
          <w:rFonts w:hint="eastAsia" w:ascii="仿宋_GB2312" w:hAnsi="仿宋_GB2312" w:eastAsia="仿宋_GB2312"/>
          <w:spacing w:val="0"/>
          <w:kern w:val="0"/>
          <w:sz w:val="32"/>
          <w:lang w:val="en-US" w:eastAsia="zh-CN"/>
        </w:rPr>
        <w:t>综合科、文秘科、信息督查科</w:t>
      </w:r>
      <w:r>
        <w:rPr>
          <w:rFonts w:hint="eastAsia" w:ascii="仿宋_GB2312" w:hAnsi="仿宋_GB2312" w:eastAsia="仿宋_GB2312"/>
          <w:spacing w:val="0"/>
          <w:kern w:val="0"/>
          <w:sz w:val="32"/>
          <w:lang w:val="zh-CN" w:eastAsia="zh-CN"/>
        </w:rPr>
        <w:t>。</w:t>
      </w:r>
    </w:p>
    <w:p>
      <w:pPr>
        <w:shd w:val="clear" w:color="auto" w:fill="FFFFFF"/>
        <w:spacing w:before="100" w:after="240"/>
        <w:jc w:val="center"/>
        <w:rPr>
          <w:rFonts w:hint="default" w:eastAsia="Times New Roman"/>
          <w:spacing w:val="0"/>
          <w:kern w:val="0"/>
          <w:sz w:val="28"/>
          <w:lang w:val="ar-SA"/>
        </w:rPr>
      </w:pPr>
      <w:r>
        <w:rPr>
          <w:rFonts w:hint="eastAsia" w:ascii="黑体" w:hAnsi="黑体" w:eastAsia="黑体"/>
          <w:spacing w:val="0"/>
          <w:kern w:val="0"/>
          <w:sz w:val="32"/>
          <w:lang w:val="en-US"/>
        </w:rPr>
        <w:t>第二部分 部门决算情况说明</w:t>
      </w:r>
    </w:p>
    <w:p>
      <w:pPr>
        <w:spacing w:line="360" w:lineRule="auto"/>
        <w:ind w:firstLine="640"/>
        <w:rPr>
          <w:rFonts w:hint="default" w:eastAsia="Times New Roman"/>
          <w:spacing w:val="0"/>
          <w:sz w:val="32"/>
          <w:lang w:val="zh-CN"/>
        </w:rPr>
      </w:pPr>
      <w:r>
        <w:rPr>
          <w:rFonts w:hint="eastAsia" w:ascii="黑体" w:hAnsi="黑体" w:eastAsia="黑体"/>
          <w:spacing w:val="0"/>
          <w:sz w:val="32"/>
          <w:lang w:val="zh-CN"/>
        </w:rPr>
        <w:t>一、收入支出决算总体情况说明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eastAsia="Times New Roman"/>
          <w:spacing w:val="0"/>
          <w:kern w:val="0"/>
          <w:sz w:val="32"/>
          <w:lang w:val="en-US"/>
        </w:rPr>
      </w:pPr>
      <w:r>
        <w:rPr>
          <w:rFonts w:hint="eastAsia" w:ascii="仿宋_GB2312" w:hAnsi="仿宋_GB2312" w:eastAsia="仿宋_GB2312"/>
          <w:spacing w:val="0"/>
          <w:kern w:val="0"/>
          <w:sz w:val="32"/>
          <w:lang w:val="en-US"/>
        </w:rPr>
        <w:t>2021年度本年收入705.01万元，与上年相比，增加154.50万元，增长28.06%，主要原因是：</w:t>
      </w:r>
      <w:r>
        <w:rPr>
          <w:rFonts w:hint="eastAsia" w:ascii="仿宋_GB2312" w:hAnsi="仿宋_GB2312" w:eastAsia="仿宋_GB2312"/>
          <w:spacing w:val="0"/>
          <w:kern w:val="0"/>
          <w:sz w:val="32"/>
          <w:lang w:val="en-US" w:eastAsia="zh-CN"/>
        </w:rPr>
        <w:t>因工作需要，较上一年</w:t>
      </w:r>
      <w:r>
        <w:rPr>
          <w:rFonts w:hint="eastAsia" w:ascii="仿宋_GB2312" w:hAnsi="黑体" w:eastAsia="仿宋_GB2312"/>
          <w:spacing w:val="0"/>
          <w:kern w:val="0"/>
          <w:sz w:val="32"/>
          <w:lang w:eastAsia="zh-CN"/>
        </w:rPr>
        <w:t>人员</w:t>
      </w:r>
      <w:r>
        <w:rPr>
          <w:rFonts w:hint="eastAsia" w:ascii="仿宋_GB2312" w:hAnsi="仿宋_GB2312" w:eastAsia="仿宋_GB2312"/>
          <w:spacing w:val="0"/>
          <w:kern w:val="0"/>
          <w:sz w:val="32"/>
          <w:lang w:val="en-US"/>
        </w:rPr>
        <w:t>增加</w:t>
      </w:r>
      <w:r>
        <w:rPr>
          <w:rFonts w:hint="eastAsia" w:ascii="仿宋_GB2312" w:hAnsi="仿宋_GB2312" w:eastAsia="仿宋_GB2312"/>
          <w:spacing w:val="0"/>
          <w:kern w:val="0"/>
          <w:sz w:val="32"/>
          <w:lang w:val="en-US" w:eastAsia="zh-CN"/>
        </w:rPr>
        <w:t>18</w:t>
      </w:r>
      <w:r>
        <w:rPr>
          <w:rFonts w:hint="eastAsia" w:ascii="仿宋_GB2312" w:hAnsi="黑体" w:eastAsia="仿宋_GB2312"/>
          <w:spacing w:val="0"/>
          <w:kern w:val="0"/>
          <w:sz w:val="32"/>
          <w:lang w:val="en-US" w:eastAsia="zh-CN"/>
        </w:rPr>
        <w:t>人</w:t>
      </w:r>
      <w:r>
        <w:rPr>
          <w:rFonts w:hint="eastAsia" w:ascii="仿宋_GB2312" w:hAnsi="仿宋_GB2312" w:eastAsia="仿宋_GB2312"/>
          <w:spacing w:val="0"/>
          <w:kern w:val="0"/>
          <w:sz w:val="32"/>
          <w:lang w:val="en-US"/>
        </w:rPr>
        <w:t>。本年支出686.86万元，与上年相比，增加179.30万元，增长35.33%，主要原因是</w:t>
      </w:r>
      <w:r>
        <w:rPr>
          <w:rFonts w:hint="eastAsia" w:ascii="仿宋_GB2312" w:hAnsi="仿宋_GB2312" w:eastAsia="仿宋_GB2312"/>
          <w:spacing w:val="0"/>
          <w:kern w:val="0"/>
          <w:sz w:val="32"/>
          <w:lang w:val="en-US" w:eastAsia="zh-CN"/>
        </w:rPr>
        <w:t>：因工作需要，较上一年</w:t>
      </w:r>
      <w:r>
        <w:rPr>
          <w:rFonts w:hint="eastAsia" w:ascii="仿宋_GB2312" w:hAnsi="黑体" w:eastAsia="仿宋_GB2312"/>
          <w:spacing w:val="0"/>
          <w:kern w:val="0"/>
          <w:sz w:val="32"/>
          <w:lang w:eastAsia="zh-CN"/>
        </w:rPr>
        <w:t>人员</w:t>
      </w:r>
      <w:r>
        <w:rPr>
          <w:rFonts w:hint="eastAsia" w:ascii="仿宋_GB2312" w:hAnsi="仿宋_GB2312" w:eastAsia="仿宋_GB2312"/>
          <w:spacing w:val="0"/>
          <w:kern w:val="0"/>
          <w:sz w:val="32"/>
          <w:lang w:val="en-US"/>
        </w:rPr>
        <w:t>增加</w:t>
      </w:r>
      <w:r>
        <w:rPr>
          <w:rFonts w:hint="eastAsia" w:ascii="仿宋_GB2312" w:hAnsi="仿宋_GB2312" w:eastAsia="仿宋_GB2312"/>
          <w:spacing w:val="0"/>
          <w:kern w:val="0"/>
          <w:sz w:val="32"/>
          <w:lang w:val="en-US" w:eastAsia="zh-CN"/>
        </w:rPr>
        <w:t>18</w:t>
      </w:r>
      <w:r>
        <w:rPr>
          <w:rFonts w:hint="eastAsia" w:ascii="仿宋_GB2312" w:hAnsi="黑体" w:eastAsia="仿宋_GB2312"/>
          <w:spacing w:val="0"/>
          <w:kern w:val="0"/>
          <w:sz w:val="32"/>
          <w:lang w:val="en-US" w:eastAsia="zh-CN"/>
        </w:rPr>
        <w:t>人</w:t>
      </w:r>
      <w:r>
        <w:rPr>
          <w:rFonts w:hint="eastAsia" w:ascii="仿宋_GB2312" w:hAnsi="仿宋_GB2312" w:eastAsia="仿宋_GB2312"/>
          <w:spacing w:val="0"/>
          <w:kern w:val="0"/>
          <w:sz w:val="32"/>
          <w:lang w:val="en-US"/>
        </w:rPr>
        <w:t>。</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eastAsia="Times New Roman"/>
          <w:spacing w:val="0"/>
          <w:sz w:val="32"/>
          <w:lang w:val="en-US"/>
        </w:rPr>
      </w:pPr>
      <w:r>
        <w:rPr>
          <w:rFonts w:hint="eastAsia" w:ascii="黑体" w:hAnsi="黑体" w:eastAsia="黑体"/>
          <w:spacing w:val="0"/>
          <w:sz w:val="32"/>
          <w:lang w:val="zh-CN"/>
        </w:rPr>
        <w:t>二、收入决算情况说明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eastAsia="Times New Roman"/>
          <w:spacing w:val="0"/>
          <w:kern w:val="0"/>
          <w:sz w:val="32"/>
          <w:lang w:val="en-US"/>
        </w:rPr>
      </w:pPr>
      <w:r>
        <w:rPr>
          <w:rFonts w:hint="eastAsia" w:ascii="仿宋_GB2312" w:hAnsi="仿宋_GB2312" w:eastAsia="仿宋_GB2312"/>
          <w:spacing w:val="0"/>
          <w:kern w:val="0"/>
          <w:sz w:val="32"/>
          <w:lang w:val="en-US"/>
        </w:rPr>
        <w:t>2021年度本年收入705.01万元，其中：财政拨款收入705.01万元，占100.00%；上级补助收入0.00万元，占0.00%；事业收入0.00万元，占0.00%；经营收入0.00万元，占0.00%；附属单位上缴收入0.00万元，占0.00%；其他收入0.00万元，占0.00%。</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eastAsia="Times New Roman"/>
          <w:spacing w:val="0"/>
          <w:sz w:val="32"/>
          <w:lang w:val="en-US"/>
        </w:rPr>
      </w:pPr>
      <w:r>
        <w:rPr>
          <w:rFonts w:hint="eastAsia" w:ascii="黑体" w:hAnsi="黑体" w:eastAsia="黑体"/>
          <w:spacing w:val="0"/>
          <w:sz w:val="32"/>
          <w:lang w:val="zh-CN"/>
        </w:rPr>
        <w:t>三、支出决算情况说明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eastAsia="Times New Roman"/>
          <w:spacing w:val="0"/>
          <w:kern w:val="0"/>
          <w:sz w:val="32"/>
          <w:lang w:val="en-US"/>
        </w:rPr>
      </w:pPr>
      <w:r>
        <w:rPr>
          <w:rFonts w:hint="eastAsia" w:ascii="仿宋_GB2312" w:hAnsi="仿宋_GB2312" w:eastAsia="仿宋_GB2312"/>
          <w:spacing w:val="0"/>
          <w:kern w:val="0"/>
          <w:sz w:val="32"/>
          <w:lang w:val="en-US"/>
        </w:rPr>
        <w:t>2021年度本年支出686.86万元，其中：基本支出610.27万元，占88.85%；项目支出76.59万元，占11.15%；上缴上级支出0.00万元，占0.00%；经营支出0.00万元，占0.00%；对附属单位补助支出0.00万元，占0.00%。</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eastAsia="Times New Roman"/>
          <w:spacing w:val="0"/>
          <w:sz w:val="32"/>
          <w:lang w:val="zh-CN"/>
        </w:rPr>
      </w:pPr>
      <w:r>
        <w:rPr>
          <w:rFonts w:hint="eastAsia" w:ascii="黑体" w:hAnsi="黑体" w:eastAsia="黑体"/>
          <w:spacing w:val="0"/>
          <w:sz w:val="32"/>
          <w:lang w:val="zh-CN"/>
        </w:rPr>
        <w:t>四、财政拨款收入支出决算总体情况说明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eastAsia="Times New Roman"/>
          <w:spacing w:val="0"/>
          <w:kern w:val="0"/>
          <w:sz w:val="32"/>
          <w:lang w:val="en-US"/>
        </w:rPr>
      </w:pPr>
      <w:r>
        <w:rPr>
          <w:rFonts w:hint="eastAsia" w:ascii="仿宋_GB2312" w:hAnsi="仿宋_GB2312" w:eastAsia="仿宋_GB2312"/>
          <w:spacing w:val="0"/>
          <w:kern w:val="0"/>
          <w:sz w:val="32"/>
          <w:lang w:val="en-US"/>
        </w:rPr>
        <w:t>2021年度财政拨款收入705.01万元，与上年相比，增加154.50万元，增长28.06%，主要原因是：本年增加</w:t>
      </w:r>
      <w:r>
        <w:rPr>
          <w:rFonts w:hint="eastAsia" w:ascii="仿宋_GB2312" w:hAnsi="仿宋_GB2312" w:eastAsia="仿宋_GB2312"/>
          <w:spacing w:val="0"/>
          <w:kern w:val="0"/>
          <w:sz w:val="32"/>
          <w:lang w:val="en-US" w:eastAsia="zh-CN"/>
        </w:rPr>
        <w:t>18</w:t>
      </w:r>
      <w:r>
        <w:rPr>
          <w:rFonts w:hint="eastAsia" w:ascii="仿宋_GB2312" w:hAnsi="仿宋_GB2312" w:eastAsia="仿宋_GB2312"/>
          <w:spacing w:val="0"/>
          <w:kern w:val="0"/>
          <w:sz w:val="32"/>
          <w:lang w:val="en-US"/>
        </w:rPr>
        <w:t>人。财政拨款支出686.86万元，与上年相比，增加179.30万元，增长35.33%，主要原因是：</w:t>
      </w:r>
      <w:r>
        <w:rPr>
          <w:rFonts w:hint="eastAsia" w:ascii="仿宋_GB2312" w:hAnsi="仿宋_GB2312" w:eastAsia="仿宋_GB2312"/>
          <w:spacing w:val="0"/>
          <w:kern w:val="0"/>
          <w:sz w:val="32"/>
          <w:lang w:val="en-US" w:eastAsia="zh-CN"/>
        </w:rPr>
        <w:t>因工作需要，较上一年</w:t>
      </w:r>
      <w:r>
        <w:rPr>
          <w:rFonts w:hint="eastAsia" w:ascii="仿宋_GB2312" w:hAnsi="黑体" w:eastAsia="仿宋_GB2312"/>
          <w:spacing w:val="0"/>
          <w:kern w:val="0"/>
          <w:sz w:val="32"/>
          <w:lang w:eastAsia="zh-CN"/>
        </w:rPr>
        <w:t>人员</w:t>
      </w:r>
      <w:r>
        <w:rPr>
          <w:rFonts w:hint="eastAsia" w:ascii="仿宋_GB2312" w:hAnsi="仿宋_GB2312" w:eastAsia="仿宋_GB2312"/>
          <w:spacing w:val="0"/>
          <w:kern w:val="0"/>
          <w:sz w:val="32"/>
          <w:lang w:val="en-US"/>
        </w:rPr>
        <w:t>增加</w:t>
      </w:r>
      <w:r>
        <w:rPr>
          <w:rFonts w:hint="eastAsia" w:ascii="仿宋_GB2312" w:hAnsi="仿宋_GB2312" w:eastAsia="仿宋_GB2312"/>
          <w:spacing w:val="0"/>
          <w:kern w:val="0"/>
          <w:sz w:val="32"/>
          <w:lang w:val="en-US" w:eastAsia="zh-CN"/>
        </w:rPr>
        <w:t>18</w:t>
      </w:r>
      <w:r>
        <w:rPr>
          <w:rFonts w:hint="eastAsia" w:ascii="仿宋_GB2312" w:hAnsi="黑体" w:eastAsia="仿宋_GB2312"/>
          <w:spacing w:val="0"/>
          <w:kern w:val="0"/>
          <w:sz w:val="32"/>
          <w:lang w:val="en-US" w:eastAsia="zh-CN"/>
        </w:rPr>
        <w:t>人</w:t>
      </w:r>
      <w:r>
        <w:rPr>
          <w:rFonts w:hint="eastAsia" w:ascii="仿宋_GB2312" w:hAnsi="仿宋_GB2312" w:eastAsia="仿宋_GB2312"/>
          <w:spacing w:val="0"/>
          <w:kern w:val="0"/>
          <w:sz w:val="32"/>
          <w:lang w:val="en-US"/>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eastAsia="Times New Roman"/>
          <w:spacing w:val="0"/>
          <w:kern w:val="0"/>
          <w:sz w:val="32"/>
          <w:lang w:val="en-US"/>
        </w:rPr>
      </w:pPr>
      <w:r>
        <w:rPr>
          <w:rFonts w:hint="eastAsia" w:ascii="仿宋_GB2312" w:hAnsi="仿宋_GB2312" w:eastAsia="仿宋_GB2312"/>
          <w:spacing w:val="0"/>
          <w:kern w:val="0"/>
          <w:sz w:val="32"/>
          <w:lang w:val="en-US"/>
        </w:rPr>
        <w:t>与年初预算数相比情况：财政拨款收入年初预算数528.59万元，决算数705.01万元，预决算差异率33.38%，主要原因是：</w:t>
      </w:r>
      <w:r>
        <w:rPr>
          <w:rFonts w:hint="eastAsia" w:ascii="仿宋_GB2312" w:hAnsi="仿宋_GB2312" w:eastAsia="仿宋_GB2312"/>
          <w:spacing w:val="0"/>
          <w:kern w:val="0"/>
          <w:sz w:val="32"/>
          <w:lang w:val="en-US" w:eastAsia="zh-CN"/>
        </w:rPr>
        <w:t>一是年初预算时政府办公室实有人员22人，至年底决算新增人员14人；二是政府办公室年初预算项目2个，至年底决算追加含“2020年度机房外包服务费用”等项目3个。</w:t>
      </w:r>
      <w:r>
        <w:rPr>
          <w:rFonts w:hint="eastAsia" w:ascii="仿宋_GB2312" w:hAnsi="仿宋_GB2312" w:eastAsia="仿宋_GB2312"/>
          <w:spacing w:val="0"/>
          <w:kern w:val="0"/>
          <w:sz w:val="32"/>
          <w:lang w:val="en-US"/>
        </w:rPr>
        <w:t>财政拨款支出年初预算数528.59万元，决算数686.86万元，预决算差异率29.94%，主要原因是：</w:t>
      </w:r>
      <w:r>
        <w:rPr>
          <w:rFonts w:hint="eastAsia" w:ascii="仿宋_GB2312" w:hAnsi="仿宋_GB2312" w:eastAsia="仿宋_GB2312"/>
          <w:spacing w:val="0"/>
          <w:kern w:val="0"/>
          <w:sz w:val="32"/>
          <w:lang w:val="en-US" w:eastAsia="zh-CN"/>
        </w:rPr>
        <w:t>一是年初预算时政府办公室实有人员22人，至年底决算期间新增人员14人，基本支出增加110.48万元；二是政府办公室年初预算项目2个，预算项目支出28.8万元，至年底决算追加项目3个，全年共计5个项目，支出较年初预算时增加47.79万元。</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eastAsia="Times New Roman"/>
          <w:spacing w:val="0"/>
          <w:sz w:val="32"/>
          <w:lang w:val="zh-CN"/>
        </w:rPr>
      </w:pPr>
      <w:r>
        <w:rPr>
          <w:rFonts w:hint="eastAsia" w:ascii="黑体" w:hAnsi="黑体" w:eastAsia="黑体"/>
          <w:spacing w:val="0"/>
          <w:sz w:val="32"/>
          <w:lang w:val="zh-CN"/>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spacing w:val="0"/>
          <w:kern w:val="0"/>
          <w:sz w:val="32"/>
          <w:lang w:val="en-US"/>
        </w:rPr>
      </w:pPr>
      <w:r>
        <w:rPr>
          <w:rFonts w:hint="eastAsia" w:ascii="仿宋_GB2312" w:hAnsi="仿宋_GB2312" w:eastAsia="仿宋_GB2312"/>
          <w:spacing w:val="0"/>
          <w:kern w:val="0"/>
          <w:sz w:val="32"/>
          <w:lang w:val="en-US"/>
        </w:rPr>
        <w:t>2021年度一般公共预算财政拨款支出686.86万元。按功能分类科目项级科目公开，其中：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spacing w:val="0"/>
          <w:kern w:val="0"/>
          <w:sz w:val="32"/>
          <w:lang w:val="en-US" w:eastAsia="zh-CN"/>
        </w:rPr>
      </w:pPr>
      <w:r>
        <w:rPr>
          <w:rFonts w:hint="eastAsia" w:ascii="仿宋_GB2312" w:hAnsi="仿宋_GB2312" w:eastAsia="仿宋_GB2312"/>
          <w:spacing w:val="0"/>
          <w:kern w:val="0"/>
          <w:sz w:val="32"/>
          <w:lang w:val="en-US" w:eastAsia="zh-CN"/>
        </w:rPr>
        <w:t>2010301行政运行524.54万元；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spacing w:val="0"/>
          <w:kern w:val="0"/>
          <w:sz w:val="32"/>
          <w:lang w:val="en-US" w:eastAsia="zh-CN"/>
        </w:rPr>
      </w:pPr>
      <w:r>
        <w:rPr>
          <w:rFonts w:hint="eastAsia" w:ascii="仿宋_GB2312" w:hAnsi="仿宋_GB2312" w:eastAsia="仿宋_GB2312"/>
          <w:spacing w:val="0"/>
          <w:kern w:val="0"/>
          <w:sz w:val="32"/>
          <w:lang w:val="en-US" w:eastAsia="zh-CN"/>
        </w:rPr>
        <w:t>2010302一般行政管理事务22.70万元；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spacing w:val="0"/>
          <w:kern w:val="0"/>
          <w:sz w:val="32"/>
          <w:lang w:val="en-US" w:eastAsia="zh-CN"/>
        </w:rPr>
      </w:pPr>
      <w:r>
        <w:rPr>
          <w:rFonts w:hint="eastAsia" w:ascii="仿宋_GB2312" w:hAnsi="仿宋_GB2312" w:eastAsia="仿宋_GB2312"/>
          <w:spacing w:val="0"/>
          <w:kern w:val="0"/>
          <w:sz w:val="32"/>
          <w:lang w:val="en-US" w:eastAsia="zh-CN"/>
        </w:rPr>
        <w:t>2010399其他政府办公厅（室）及相关机构事务支出53.89万元；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spacing w:val="0"/>
          <w:kern w:val="0"/>
          <w:sz w:val="32"/>
          <w:lang w:val="en-US" w:eastAsia="zh-CN"/>
        </w:rPr>
      </w:pPr>
      <w:r>
        <w:rPr>
          <w:rFonts w:hint="eastAsia" w:ascii="仿宋_GB2312" w:hAnsi="仿宋_GB2312" w:eastAsia="仿宋_GB2312"/>
          <w:spacing w:val="0"/>
          <w:kern w:val="0"/>
          <w:sz w:val="32"/>
          <w:lang w:val="en-US" w:eastAsia="zh-CN"/>
        </w:rPr>
        <w:t>2049999其他公共安全支出44.86万元；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spacing w:val="0"/>
          <w:kern w:val="0"/>
          <w:sz w:val="32"/>
          <w:lang w:val="en-US" w:eastAsia="zh-CN"/>
        </w:rPr>
      </w:pPr>
      <w:r>
        <w:rPr>
          <w:rFonts w:hint="eastAsia" w:ascii="仿宋_GB2312" w:hAnsi="仿宋_GB2312" w:eastAsia="仿宋_GB2312"/>
          <w:spacing w:val="0"/>
          <w:kern w:val="0"/>
          <w:sz w:val="32"/>
          <w:lang w:val="en-US" w:eastAsia="zh-CN"/>
        </w:rPr>
        <w:t>2080505机关事业单位基本养老保险缴费支出40.87万元。</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eastAsia="Times New Roman"/>
          <w:spacing w:val="0"/>
          <w:sz w:val="32"/>
          <w:lang w:val="zh-CN"/>
        </w:rPr>
      </w:pPr>
      <w:r>
        <w:rPr>
          <w:rFonts w:hint="eastAsia" w:ascii="黑体" w:hAnsi="黑体" w:eastAsia="黑体"/>
          <w:spacing w:val="0"/>
          <w:sz w:val="32"/>
          <w:lang w:val="zh-CN"/>
        </w:rPr>
        <w:t>六、一般公共预算财政拨款基本支出决算情况说明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spacing w:val="0"/>
          <w:kern w:val="0"/>
          <w:sz w:val="32"/>
          <w:lang w:val="en-US"/>
        </w:rPr>
      </w:pPr>
      <w:r>
        <w:rPr>
          <w:rFonts w:hint="eastAsia" w:ascii="仿宋_GB2312" w:hAnsi="仿宋_GB2312" w:eastAsia="仿宋_GB2312"/>
          <w:spacing w:val="0"/>
          <w:kern w:val="0"/>
          <w:sz w:val="32"/>
          <w:lang w:val="en-US"/>
        </w:rPr>
        <w:t>2021年度一般公共预算财政拨款基本支出610.27万元，其中：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eastAsia="Times New Roman"/>
          <w:spacing w:val="0"/>
          <w:kern w:val="0"/>
          <w:sz w:val="32"/>
          <w:lang w:val="en-US"/>
        </w:rPr>
      </w:pPr>
      <w:r>
        <w:rPr>
          <w:rFonts w:hint="eastAsia" w:ascii="仿宋_GB2312" w:hAnsi="仿宋_GB2312" w:eastAsia="仿宋_GB2312"/>
          <w:spacing w:val="0"/>
          <w:kern w:val="0"/>
          <w:sz w:val="32"/>
          <w:lang w:val="en-US"/>
        </w:rPr>
        <w:t>人员经费582.93万元，包括：基本工资、津贴补贴、奖金、绩效工资、机关事业单位基本养老保险缴费、职业年金缴费、职工基本医疗保险缴费、公务员医疗补助缴费、其他社会保障缴费、住房公积金、其他工资福利支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eastAsia="Times New Roman"/>
          <w:spacing w:val="0"/>
          <w:kern w:val="0"/>
          <w:sz w:val="32"/>
          <w:lang w:val="en-US"/>
        </w:rPr>
      </w:pPr>
      <w:r>
        <w:rPr>
          <w:rFonts w:hint="eastAsia" w:ascii="仿宋_GB2312" w:hAnsi="仿宋_GB2312" w:eastAsia="仿宋_GB2312"/>
          <w:spacing w:val="0"/>
          <w:kern w:val="0"/>
          <w:sz w:val="32"/>
          <w:lang w:val="en-US"/>
        </w:rPr>
        <w:t>公用经费27.34万元，包括：办公费、邮电费、差旅费、维修（护）费、培训费、专用材料费、工会经费、福利费、其他商品和服务支出、办公设备购置。</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eastAsia="Times New Roman"/>
          <w:spacing w:val="0"/>
          <w:sz w:val="32"/>
          <w:lang w:val="en-US"/>
        </w:rPr>
      </w:pPr>
      <w:r>
        <w:rPr>
          <w:rFonts w:hint="eastAsia" w:ascii="黑体" w:hAnsi="黑体" w:eastAsia="黑体"/>
          <w:spacing w:val="0"/>
          <w:sz w:val="32"/>
          <w:lang w:val="zh-CN"/>
        </w:rPr>
        <w:t>七、一般公共预算财政拨款</w:t>
      </w:r>
      <w:r>
        <w:rPr>
          <w:rFonts w:hint="eastAsia" w:ascii="黑体" w:hAnsi="黑体" w:eastAsia="黑体"/>
          <w:spacing w:val="0"/>
          <w:kern w:val="0"/>
          <w:sz w:val="32"/>
          <w:lang w:val="en-US"/>
        </w:rPr>
        <w:t>“三公”</w:t>
      </w:r>
      <w:r>
        <w:rPr>
          <w:rFonts w:hint="eastAsia" w:ascii="黑体" w:hAnsi="黑体" w:eastAsia="黑体"/>
          <w:spacing w:val="0"/>
          <w:sz w:val="32"/>
          <w:lang w:val="zh-CN"/>
        </w:rPr>
        <w:t>经费支出决算情况说明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eastAsia="Times New Roman"/>
          <w:spacing w:val="0"/>
          <w:kern w:val="0"/>
          <w:sz w:val="32"/>
          <w:lang w:val="en-US"/>
        </w:rPr>
      </w:pPr>
      <w:r>
        <w:rPr>
          <w:rFonts w:hint="eastAsia" w:ascii="仿宋_GB2312" w:hAnsi="仿宋_GB2312" w:eastAsia="仿宋_GB2312"/>
          <w:spacing w:val="0"/>
          <w:kern w:val="0"/>
          <w:sz w:val="32"/>
          <w:lang w:val="en-US"/>
        </w:rPr>
        <w:t>2021年度一般公共预算“三公”经费支出决算0.00万元，比上年增加0.00万元，增长0.00%，主要原因是：</w:t>
      </w:r>
      <w:r>
        <w:rPr>
          <w:rFonts w:hint="eastAsia" w:ascii="仿宋_GB2312" w:hAnsi="仿宋_GB2312" w:eastAsia="仿宋_GB2312"/>
          <w:spacing w:val="0"/>
          <w:kern w:val="0"/>
          <w:sz w:val="32"/>
          <w:lang w:val="en-US" w:eastAsia="zh-CN"/>
        </w:rPr>
        <w:t>单位无此支出</w:t>
      </w:r>
      <w:r>
        <w:rPr>
          <w:rFonts w:hint="eastAsia" w:ascii="仿宋_GB2312" w:hAnsi="仿宋_GB2312" w:eastAsia="仿宋_GB2312"/>
          <w:spacing w:val="0"/>
          <w:kern w:val="0"/>
          <w:sz w:val="32"/>
          <w:lang w:val="en-US"/>
        </w:rPr>
        <w:t>。其中：因公出国（境）费支出0.00万元，占0.00%，比上年增加0.00万元，增长0.00%，主要原因是：本年单位无因公出国（境）费支出；公务用车购置及运行维护费支出0.00万元，占0.00%，比上年增加0.00万元，增长0.00%，主要原因是：</w:t>
      </w:r>
      <w:r>
        <w:rPr>
          <w:rFonts w:hint="eastAsia" w:ascii="仿宋_GB2312" w:hAnsi="仿宋_GB2312" w:eastAsia="仿宋_GB2312"/>
          <w:spacing w:val="0"/>
          <w:kern w:val="0"/>
          <w:sz w:val="32"/>
          <w:lang w:val="en-US" w:eastAsia="zh-CN"/>
        </w:rPr>
        <w:t>单位无此支出</w:t>
      </w:r>
      <w:r>
        <w:rPr>
          <w:rFonts w:hint="eastAsia" w:ascii="仿宋_GB2312" w:hAnsi="仿宋_GB2312" w:eastAsia="仿宋_GB2312"/>
          <w:spacing w:val="0"/>
          <w:kern w:val="0"/>
          <w:sz w:val="32"/>
          <w:lang w:val="en-US"/>
        </w:rPr>
        <w:t>；公务接待费支出0.00万元，占0.00%，比上年增加0.00万元，增长0.00%，主要原因是：</w:t>
      </w:r>
      <w:r>
        <w:rPr>
          <w:rFonts w:hint="eastAsia" w:ascii="仿宋_GB2312" w:hAnsi="仿宋_GB2312" w:eastAsia="仿宋_GB2312"/>
          <w:spacing w:val="0"/>
          <w:kern w:val="0"/>
          <w:sz w:val="32"/>
          <w:lang w:val="en-US" w:eastAsia="zh-CN"/>
        </w:rPr>
        <w:t>单位无此支出</w:t>
      </w:r>
      <w:r>
        <w:rPr>
          <w:rFonts w:hint="eastAsia" w:ascii="仿宋_GB2312" w:hAnsi="仿宋_GB2312" w:eastAsia="仿宋_GB2312"/>
          <w:spacing w:val="0"/>
          <w:kern w:val="0"/>
          <w:sz w:val="32"/>
          <w:lang w:val="en-US"/>
        </w:rPr>
        <w:t>。具体情况如下：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eastAsia="Times New Roman"/>
          <w:spacing w:val="0"/>
          <w:kern w:val="0"/>
          <w:sz w:val="32"/>
          <w:lang w:val="en-US"/>
        </w:rPr>
      </w:pPr>
      <w:r>
        <w:rPr>
          <w:rFonts w:hint="eastAsia" w:ascii="仿宋_GB2312" w:hAnsi="仿宋_GB2312" w:eastAsia="仿宋_GB2312"/>
          <w:spacing w:val="0"/>
          <w:kern w:val="0"/>
          <w:sz w:val="32"/>
          <w:lang w:val="en-US"/>
        </w:rPr>
        <w:t>因公出国（境）费支出0.00万元，开支内容包括本年单位无因公出国（境）费支出。单位全年安排的因公出国（境）团组0个，因公出国（境）0人次。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eastAsia="Times New Roman"/>
          <w:spacing w:val="0"/>
          <w:kern w:val="0"/>
          <w:sz w:val="32"/>
          <w:lang w:val="en-US"/>
        </w:rPr>
      </w:pPr>
      <w:r>
        <w:rPr>
          <w:rFonts w:hint="eastAsia" w:ascii="仿宋_GB2312" w:hAnsi="仿宋_GB2312" w:eastAsia="仿宋_GB2312"/>
          <w:spacing w:val="0"/>
          <w:kern w:val="0"/>
          <w:sz w:val="32"/>
          <w:lang w:val="en-US"/>
        </w:rPr>
        <w:t>公务用车购置及运行维护费0.00万元，其中：公务用车购置费0.00万元，公务用车运行维护费0.00万元。公务用车运行维护费开支内容包括</w:t>
      </w:r>
      <w:r>
        <w:rPr>
          <w:rFonts w:hint="eastAsia" w:ascii="仿宋_GB2312" w:hAnsi="仿宋_GB2312" w:eastAsia="仿宋_GB2312"/>
          <w:spacing w:val="0"/>
          <w:kern w:val="0"/>
          <w:sz w:val="32"/>
          <w:lang w:val="en-US" w:eastAsia="zh-CN"/>
        </w:rPr>
        <w:t>单位无此支出</w:t>
      </w:r>
      <w:r>
        <w:rPr>
          <w:rFonts w:hint="eastAsia" w:ascii="仿宋_GB2312" w:hAnsi="仿宋_GB2312" w:eastAsia="仿宋_GB2312"/>
          <w:spacing w:val="0"/>
          <w:kern w:val="0"/>
          <w:sz w:val="32"/>
          <w:lang w:val="en-US"/>
        </w:rPr>
        <w:t>。公务用车购置数0辆，公务用车保有量0辆。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eastAsia="Times New Roman"/>
          <w:spacing w:val="0"/>
          <w:kern w:val="0"/>
          <w:sz w:val="32"/>
          <w:lang w:val="en-US"/>
        </w:rPr>
      </w:pPr>
      <w:r>
        <w:rPr>
          <w:rFonts w:hint="eastAsia" w:ascii="仿宋_GB2312" w:hAnsi="仿宋_GB2312" w:eastAsia="仿宋_GB2312"/>
          <w:spacing w:val="0"/>
          <w:kern w:val="0"/>
          <w:sz w:val="32"/>
          <w:lang w:val="en-US"/>
        </w:rPr>
        <w:t>公务接待费0.00万元，开支内容包括</w:t>
      </w:r>
      <w:r>
        <w:rPr>
          <w:rFonts w:hint="eastAsia" w:ascii="仿宋_GB2312" w:hAnsi="仿宋_GB2312" w:eastAsia="仿宋_GB2312"/>
          <w:spacing w:val="0"/>
          <w:kern w:val="0"/>
          <w:sz w:val="32"/>
          <w:lang w:val="en-US" w:eastAsia="zh-CN"/>
        </w:rPr>
        <w:t>单位无此支出</w:t>
      </w:r>
      <w:r>
        <w:rPr>
          <w:rFonts w:hint="eastAsia" w:ascii="仿宋_GB2312" w:hAnsi="仿宋_GB2312" w:eastAsia="仿宋_GB2312"/>
          <w:spacing w:val="0"/>
          <w:kern w:val="0"/>
          <w:sz w:val="32"/>
          <w:lang w:val="en-US"/>
        </w:rPr>
        <w:t>。单位全年安排的国内公务接待0批次，0人次。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textAlignment w:val="auto"/>
        <w:rPr>
          <w:rFonts w:hint="default" w:eastAsia="Times New Roman"/>
          <w:spacing w:val="0"/>
          <w:kern w:val="0"/>
          <w:sz w:val="32"/>
          <w:lang w:val="en-US"/>
        </w:rPr>
      </w:pPr>
      <w:r>
        <w:rPr>
          <w:rFonts w:hint="eastAsia" w:ascii="仿宋_GB2312" w:hAnsi="仿宋_GB2312" w:eastAsia="仿宋_GB2312"/>
          <w:spacing w:val="0"/>
          <w:kern w:val="0"/>
          <w:sz w:val="32"/>
          <w:lang w:val="en-US"/>
        </w:rPr>
        <w:t>与年初预算</w:t>
      </w:r>
      <w:r>
        <w:rPr>
          <w:rFonts w:hint="eastAsia" w:ascii="仿宋_GB2312" w:hAnsi="仿宋_GB2312" w:eastAsia="仿宋_GB2312"/>
          <w:spacing w:val="0"/>
          <w:kern w:val="0"/>
          <w:sz w:val="32"/>
          <w:lang w:val="zh-CN"/>
        </w:rPr>
        <w:t>数</w:t>
      </w:r>
      <w:r>
        <w:rPr>
          <w:rFonts w:hint="eastAsia" w:ascii="仿宋_GB2312" w:hAnsi="仿宋_GB2312" w:eastAsia="仿宋_GB2312"/>
          <w:spacing w:val="0"/>
          <w:kern w:val="0"/>
          <w:sz w:val="32"/>
          <w:lang w:val="en-US"/>
        </w:rPr>
        <w:t>相比情况:一般公共预算</w:t>
      </w:r>
      <w:r>
        <w:rPr>
          <w:rFonts w:hint="default" w:eastAsia="Times New Roman"/>
          <w:spacing w:val="0"/>
          <w:kern w:val="0"/>
          <w:sz w:val="32"/>
          <w:lang w:val="en-US"/>
        </w:rPr>
        <w:t>“</w:t>
      </w:r>
      <w:r>
        <w:rPr>
          <w:rFonts w:hint="eastAsia" w:ascii="仿宋_GB2312" w:hAnsi="仿宋_GB2312" w:eastAsia="仿宋_GB2312"/>
          <w:spacing w:val="0"/>
          <w:kern w:val="0"/>
          <w:sz w:val="32"/>
          <w:lang w:val="en-US"/>
        </w:rPr>
        <w:t>三公</w:t>
      </w:r>
      <w:r>
        <w:rPr>
          <w:rFonts w:hint="default" w:eastAsia="Times New Roman"/>
          <w:spacing w:val="0"/>
          <w:kern w:val="0"/>
          <w:sz w:val="32"/>
          <w:lang w:val="en-US"/>
        </w:rPr>
        <w:t>”</w:t>
      </w:r>
      <w:r>
        <w:rPr>
          <w:rFonts w:hint="eastAsia" w:ascii="仿宋_GB2312" w:hAnsi="仿宋_GB2312" w:eastAsia="仿宋_GB2312"/>
          <w:spacing w:val="0"/>
          <w:kern w:val="0"/>
          <w:sz w:val="32"/>
          <w:lang w:val="en-US"/>
        </w:rPr>
        <w:t>经费支出年初预算数0.00万元，决算数0.00万元，预决算差异率0.00%，主要原因</w:t>
      </w:r>
      <w:r>
        <w:rPr>
          <w:rFonts w:hint="eastAsia" w:ascii="仿宋_GB2312" w:hAnsi="仿宋_GB2312" w:eastAsia="仿宋_GB2312"/>
          <w:spacing w:val="0"/>
          <w:kern w:val="0"/>
          <w:sz w:val="32"/>
          <w:lang w:val="en-US" w:eastAsia="zh-CN"/>
        </w:rPr>
        <w:t>是：本年未安排</w:t>
      </w:r>
      <w:r>
        <w:rPr>
          <w:rFonts w:hint="eastAsia" w:ascii="仿宋_GB2312" w:hAnsi="仿宋_GB2312" w:eastAsia="仿宋_GB2312"/>
          <w:spacing w:val="0"/>
          <w:kern w:val="0"/>
          <w:sz w:val="32"/>
          <w:lang w:val="en-US"/>
        </w:rPr>
        <w:t>“三公”经费</w:t>
      </w:r>
      <w:r>
        <w:rPr>
          <w:rFonts w:hint="eastAsia" w:ascii="仿宋_GB2312" w:hAnsi="仿宋_GB2312" w:eastAsia="仿宋_GB2312"/>
          <w:spacing w:val="0"/>
          <w:kern w:val="0"/>
          <w:sz w:val="32"/>
          <w:lang w:val="en-US" w:eastAsia="zh-CN"/>
        </w:rPr>
        <w:t>预算</w:t>
      </w:r>
      <w:r>
        <w:rPr>
          <w:rFonts w:hint="eastAsia" w:ascii="仿宋_GB2312" w:hAnsi="仿宋_GB2312" w:eastAsia="仿宋_GB2312"/>
          <w:spacing w:val="0"/>
          <w:kern w:val="0"/>
          <w:sz w:val="32"/>
          <w:lang w:val="en-US"/>
        </w:rPr>
        <w:t>。其中：因公出国（境）费预算数0.00万元，决算数0.00万元，预决算差异率0.00%，主要原因是：本年单位无因公出国（境）费支出；公务用车购置费预算数0.00万元，决算数0.00万元，预决算差异率0.00%，主要原因是：</w:t>
      </w:r>
      <w:r>
        <w:rPr>
          <w:rFonts w:hint="eastAsia" w:ascii="仿宋_GB2312" w:hAnsi="仿宋_GB2312" w:eastAsia="仿宋_GB2312"/>
          <w:spacing w:val="0"/>
          <w:kern w:val="0"/>
          <w:sz w:val="32"/>
          <w:lang w:val="en-US" w:eastAsia="zh-CN"/>
        </w:rPr>
        <w:t>本年未安排“</w:t>
      </w:r>
      <w:r>
        <w:rPr>
          <w:rFonts w:hint="eastAsia" w:ascii="仿宋_GB2312" w:hAnsi="仿宋_GB2312" w:eastAsia="仿宋_GB2312"/>
          <w:spacing w:val="0"/>
          <w:kern w:val="0"/>
          <w:sz w:val="32"/>
          <w:lang w:val="en-US"/>
        </w:rPr>
        <w:t>公务用车购置</w:t>
      </w:r>
      <w:r>
        <w:rPr>
          <w:rFonts w:hint="eastAsia" w:ascii="仿宋_GB2312" w:hAnsi="仿宋_GB2312" w:eastAsia="仿宋_GB2312"/>
          <w:spacing w:val="0"/>
          <w:kern w:val="0"/>
          <w:sz w:val="32"/>
          <w:lang w:val="en-US" w:eastAsia="zh-CN"/>
        </w:rPr>
        <w:t>”经费</w:t>
      </w:r>
      <w:r>
        <w:rPr>
          <w:rFonts w:hint="eastAsia" w:ascii="仿宋_GB2312" w:hAnsi="仿宋_GB2312" w:eastAsia="仿宋_GB2312"/>
          <w:spacing w:val="0"/>
          <w:kern w:val="0"/>
          <w:sz w:val="32"/>
          <w:lang w:val="en-US"/>
        </w:rPr>
        <w:t>预算；公务用车运行费预算数0.00万元，决算数0.00万元，预决算差异率0.00%，主要原因是：</w:t>
      </w:r>
      <w:r>
        <w:rPr>
          <w:rFonts w:hint="eastAsia" w:ascii="仿宋_GB2312" w:hAnsi="仿宋_GB2312" w:eastAsia="仿宋_GB2312"/>
          <w:spacing w:val="0"/>
          <w:kern w:val="0"/>
          <w:sz w:val="32"/>
          <w:lang w:val="en-US" w:eastAsia="zh-CN"/>
        </w:rPr>
        <w:t>本年未安排“</w:t>
      </w:r>
      <w:r>
        <w:rPr>
          <w:rFonts w:hint="eastAsia" w:ascii="仿宋_GB2312" w:hAnsi="仿宋_GB2312" w:eastAsia="仿宋_GB2312"/>
          <w:spacing w:val="0"/>
          <w:kern w:val="0"/>
          <w:sz w:val="32"/>
          <w:lang w:val="en-US"/>
        </w:rPr>
        <w:t>公务用车运行</w:t>
      </w:r>
      <w:r>
        <w:rPr>
          <w:rFonts w:hint="eastAsia" w:ascii="仿宋_GB2312" w:hAnsi="仿宋_GB2312" w:eastAsia="仿宋_GB2312"/>
          <w:spacing w:val="0"/>
          <w:kern w:val="0"/>
          <w:sz w:val="32"/>
          <w:lang w:val="en-US" w:eastAsia="zh-CN"/>
        </w:rPr>
        <w:t>”经费</w:t>
      </w:r>
      <w:r>
        <w:rPr>
          <w:rFonts w:hint="eastAsia" w:ascii="仿宋_GB2312" w:hAnsi="仿宋_GB2312" w:eastAsia="仿宋_GB2312"/>
          <w:spacing w:val="0"/>
          <w:kern w:val="0"/>
          <w:sz w:val="32"/>
          <w:lang w:val="en-US"/>
        </w:rPr>
        <w:t>预算；公务接待费预算数0.00万元，决算数0.00万元，预决算差异率0.00%，主要原因是：</w:t>
      </w:r>
      <w:r>
        <w:rPr>
          <w:rFonts w:hint="eastAsia" w:ascii="仿宋_GB2312" w:hAnsi="仿宋_GB2312" w:eastAsia="仿宋_GB2312"/>
          <w:spacing w:val="0"/>
          <w:kern w:val="0"/>
          <w:sz w:val="32"/>
          <w:lang w:val="en-US" w:eastAsia="zh-CN"/>
        </w:rPr>
        <w:t>本年未安排“</w:t>
      </w:r>
      <w:r>
        <w:rPr>
          <w:rFonts w:hint="eastAsia" w:ascii="仿宋_GB2312" w:hAnsi="仿宋_GB2312" w:eastAsia="仿宋_GB2312"/>
          <w:spacing w:val="0"/>
          <w:kern w:val="0"/>
          <w:sz w:val="32"/>
          <w:lang w:val="en-US"/>
        </w:rPr>
        <w:t>公务接待</w:t>
      </w:r>
      <w:r>
        <w:rPr>
          <w:rFonts w:hint="eastAsia" w:ascii="仿宋_GB2312" w:hAnsi="仿宋_GB2312" w:eastAsia="仿宋_GB2312"/>
          <w:spacing w:val="0"/>
          <w:kern w:val="0"/>
          <w:sz w:val="32"/>
          <w:lang w:val="en-US" w:eastAsia="zh-CN"/>
        </w:rPr>
        <w:t>”经费</w:t>
      </w:r>
      <w:r>
        <w:rPr>
          <w:rFonts w:hint="eastAsia" w:ascii="仿宋_GB2312" w:hAnsi="仿宋_GB2312" w:eastAsia="仿宋_GB2312"/>
          <w:spacing w:val="0"/>
          <w:kern w:val="0"/>
          <w:sz w:val="32"/>
          <w:lang w:val="en-US"/>
        </w:rPr>
        <w:t>预算。</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eastAsia="Times New Roman"/>
          <w:spacing w:val="0"/>
          <w:sz w:val="32"/>
          <w:lang w:val="zh-CN"/>
        </w:rPr>
      </w:pPr>
      <w:r>
        <w:rPr>
          <w:rFonts w:hint="eastAsia" w:ascii="黑体" w:hAnsi="黑体" w:eastAsia="黑体"/>
          <w:spacing w:val="0"/>
          <w:sz w:val="32"/>
          <w:lang w:val="zh-CN"/>
        </w:rPr>
        <w:t>八、政府性基金预算财政拨款收入支出决算情况说明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spacing w:val="0"/>
          <w:kern w:val="0"/>
          <w:sz w:val="32"/>
          <w:highlight w:val="yellow"/>
          <w:lang w:val="en-US"/>
        </w:rPr>
      </w:pPr>
      <w:r>
        <w:rPr>
          <w:rFonts w:hint="eastAsia" w:ascii="仿宋_GB2312" w:hAnsi="仿宋_GB2312" w:eastAsia="仿宋_GB2312"/>
          <w:spacing w:val="0"/>
          <w:kern w:val="0"/>
          <w:sz w:val="32"/>
          <w:lang w:val="en-US"/>
        </w:rPr>
        <w:t>我单位本年度无政府性基金预算财政拨款收入支出，政府性基金预算财政拨款收入支出决算表为空表。</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eastAsia="Times New Roman"/>
          <w:color w:val="auto"/>
          <w:spacing w:val="0"/>
          <w:sz w:val="32"/>
          <w:lang w:val="zh-CN"/>
        </w:rPr>
      </w:pPr>
      <w:r>
        <w:rPr>
          <w:rFonts w:hint="eastAsia" w:ascii="黑体" w:hAnsi="黑体" w:eastAsia="黑体"/>
          <w:color w:val="auto"/>
          <w:spacing w:val="0"/>
          <w:sz w:val="32"/>
          <w:lang w:val="zh-CN"/>
        </w:rPr>
        <w:t>九、国有资本经营预算财政拨款收入支出决算情况说明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eastAsia="Times New Roman"/>
          <w:color w:val="auto"/>
          <w:spacing w:val="0"/>
          <w:kern w:val="0"/>
          <w:sz w:val="32"/>
          <w:lang w:val="en-US"/>
        </w:rPr>
      </w:pPr>
      <w:r>
        <w:rPr>
          <w:rFonts w:hint="eastAsia" w:ascii="仿宋_GB2312" w:hAnsi="仿宋_GB2312" w:eastAsia="仿宋_GB2312"/>
          <w:color w:val="auto"/>
          <w:spacing w:val="0"/>
          <w:kern w:val="0"/>
          <w:sz w:val="32"/>
          <w:lang w:val="en-US"/>
        </w:rPr>
        <w:t>我单位本年度无国有资本经营预算财政拨款收入支出，国有资本经营预算财政拨款收入支出决算表为空表。</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eastAsia="Times New Roman"/>
          <w:color w:val="auto"/>
          <w:spacing w:val="0"/>
          <w:sz w:val="32"/>
          <w:lang w:val="zh-CN"/>
        </w:rPr>
      </w:pPr>
      <w:r>
        <w:rPr>
          <w:rFonts w:hint="eastAsia" w:ascii="黑体" w:hAnsi="黑体" w:eastAsia="黑体"/>
          <w:color w:val="auto"/>
          <w:spacing w:val="0"/>
          <w:sz w:val="32"/>
          <w:lang w:val="zh-CN"/>
        </w:rPr>
        <w:t>十、其他重要事项的情况说明</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eastAsia="Times New Roman"/>
          <w:color w:val="auto"/>
          <w:spacing w:val="0"/>
          <w:sz w:val="32"/>
          <w:lang w:val="zh-CN"/>
        </w:rPr>
      </w:pPr>
      <w:r>
        <w:rPr>
          <w:rFonts w:hint="eastAsia" w:ascii="黑体" w:hAnsi="黑体" w:eastAsia="黑体"/>
          <w:color w:val="auto"/>
          <w:spacing w:val="0"/>
          <w:sz w:val="32"/>
          <w:lang w:val="zh-CN"/>
        </w:rPr>
        <w:t>（一）机关运行经费支出情况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eastAsia="Times New Roman"/>
          <w:color w:val="auto"/>
          <w:spacing w:val="0"/>
          <w:kern w:val="0"/>
          <w:sz w:val="32"/>
          <w:lang w:val="en-US"/>
        </w:rPr>
      </w:pPr>
      <w:r>
        <w:rPr>
          <w:rFonts w:hint="eastAsia" w:ascii="仿宋_GB2312" w:hAnsi="仿宋_GB2312" w:eastAsia="仿宋_GB2312"/>
          <w:color w:val="auto"/>
          <w:spacing w:val="0"/>
          <w:kern w:val="0"/>
          <w:sz w:val="32"/>
          <w:lang w:val="en-US"/>
        </w:rPr>
        <w:t>2021年度</w:t>
      </w:r>
      <w:r>
        <w:rPr>
          <w:rFonts w:hint="eastAsia" w:ascii="仿宋_GB2312" w:hAnsi="仿宋_GB2312" w:eastAsia="仿宋_GB2312"/>
          <w:color w:val="auto"/>
          <w:spacing w:val="0"/>
          <w:kern w:val="0"/>
          <w:sz w:val="32"/>
          <w:lang w:val="en-US" w:eastAsia="zh-CN"/>
        </w:rPr>
        <w:t>高新区（新市区）管委会(人民政府)办公室（外 事办公室）</w:t>
      </w:r>
      <w:r>
        <w:rPr>
          <w:rFonts w:hint="eastAsia" w:ascii="仿宋_GB2312" w:hAnsi="仿宋_GB2312" w:eastAsia="仿宋_GB2312"/>
          <w:color w:val="auto"/>
          <w:spacing w:val="0"/>
          <w:kern w:val="0"/>
          <w:sz w:val="32"/>
          <w:lang w:val="en-US"/>
        </w:rPr>
        <w:t>单位机关运行经费支出27.34万元，比上年增加14.62万元，增长114.94%，主要原因是：</w:t>
      </w:r>
      <w:r>
        <w:rPr>
          <w:rFonts w:hint="eastAsia" w:ascii="仿宋_GB2312" w:hAnsi="仿宋_GB2312" w:eastAsia="仿宋_GB2312"/>
          <w:spacing w:val="0"/>
          <w:kern w:val="0"/>
          <w:sz w:val="32"/>
          <w:lang w:val="en-US" w:eastAsia="zh-CN"/>
        </w:rPr>
        <w:t>成立的区电子政务中心和区自创区服务中心人员大批量调入后，相应办公用品、耗材、电话费等开支增大，导致相应经费增加</w:t>
      </w:r>
      <w:r>
        <w:rPr>
          <w:rFonts w:hint="eastAsia" w:ascii="仿宋_GB2312" w:hAnsi="仿宋_GB2312" w:eastAsia="仿宋_GB2312"/>
          <w:color w:val="auto"/>
          <w:spacing w:val="0"/>
          <w:kern w:val="0"/>
          <w:sz w:val="32"/>
          <w:lang w:val="en-US"/>
        </w:rPr>
        <w:t>。</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eastAsia="Times New Roman"/>
          <w:color w:val="auto"/>
          <w:spacing w:val="0"/>
          <w:sz w:val="32"/>
          <w:lang w:val="en-US"/>
        </w:rPr>
      </w:pPr>
      <w:r>
        <w:rPr>
          <w:rFonts w:hint="eastAsia" w:ascii="黑体" w:hAnsi="黑体" w:eastAsia="黑体"/>
          <w:color w:val="auto"/>
          <w:spacing w:val="0"/>
          <w:sz w:val="32"/>
          <w:lang w:val="en-US"/>
        </w:rPr>
        <w:t>（</w:t>
      </w:r>
      <w:r>
        <w:rPr>
          <w:rFonts w:hint="eastAsia" w:ascii="黑体" w:hAnsi="黑体" w:eastAsia="黑体"/>
          <w:color w:val="auto"/>
          <w:spacing w:val="0"/>
          <w:sz w:val="32"/>
          <w:lang w:val="zh-CN"/>
        </w:rPr>
        <w:t>二</w:t>
      </w:r>
      <w:r>
        <w:rPr>
          <w:rFonts w:hint="eastAsia" w:ascii="黑体" w:hAnsi="黑体" w:eastAsia="黑体"/>
          <w:color w:val="auto"/>
          <w:spacing w:val="0"/>
          <w:sz w:val="32"/>
          <w:lang w:val="en-US"/>
        </w:rPr>
        <w:t>）</w:t>
      </w:r>
      <w:r>
        <w:rPr>
          <w:rFonts w:hint="eastAsia" w:ascii="黑体" w:hAnsi="黑体" w:eastAsia="黑体"/>
          <w:color w:val="auto"/>
          <w:spacing w:val="0"/>
          <w:sz w:val="32"/>
          <w:lang w:val="zh-CN"/>
        </w:rPr>
        <w:t>政府采购情况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eastAsia="Times New Roman"/>
          <w:color w:val="auto"/>
          <w:spacing w:val="0"/>
          <w:kern w:val="0"/>
          <w:sz w:val="32"/>
          <w:lang w:val="en-US"/>
        </w:rPr>
      </w:pPr>
      <w:r>
        <w:rPr>
          <w:rFonts w:hint="eastAsia" w:ascii="仿宋_GB2312" w:hAnsi="仿宋_GB2312" w:eastAsia="仿宋_GB2312"/>
          <w:color w:val="auto"/>
          <w:spacing w:val="0"/>
          <w:kern w:val="0"/>
          <w:sz w:val="32"/>
          <w:lang w:val="en-US"/>
        </w:rPr>
        <w:t>2021年度政府采购支出总额3.21万元，其中：政府采购货物支出3.21万元、政府采购工程支出0.00万元、政府采购服务支出0.00万元。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eastAsia="Times New Roman"/>
          <w:color w:val="auto"/>
          <w:spacing w:val="0"/>
          <w:kern w:val="0"/>
          <w:sz w:val="32"/>
          <w:lang w:val="en-US"/>
        </w:rPr>
      </w:pPr>
      <w:r>
        <w:rPr>
          <w:rFonts w:hint="eastAsia" w:ascii="仿宋_GB2312" w:hAnsi="仿宋_GB2312" w:eastAsia="仿宋_GB2312"/>
          <w:color w:val="auto"/>
          <w:spacing w:val="0"/>
          <w:kern w:val="0"/>
          <w:sz w:val="32"/>
          <w:lang w:val="en-US"/>
        </w:rPr>
        <w:t>授予中小企业合同金额3.21万元，占政府采购支出总额的100.00%，其中：授予小微企业合同金额3.21万元，占政府采购支出总额的100.00%。</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eastAsia="Times New Roman"/>
          <w:color w:val="auto"/>
          <w:spacing w:val="0"/>
          <w:sz w:val="32"/>
          <w:lang w:val="zh-CN"/>
        </w:rPr>
      </w:pPr>
      <w:r>
        <w:rPr>
          <w:rFonts w:hint="eastAsia" w:ascii="黑体" w:hAnsi="黑体" w:eastAsia="黑体"/>
          <w:color w:val="auto"/>
          <w:spacing w:val="0"/>
          <w:sz w:val="32"/>
          <w:lang w:val="zh-CN"/>
        </w:rPr>
        <w:t>（三）国有资产占用情况说明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eastAsia="Times New Roman"/>
          <w:color w:val="auto"/>
          <w:spacing w:val="0"/>
          <w:kern w:val="0"/>
          <w:sz w:val="32"/>
          <w:lang w:val="en-US"/>
        </w:rPr>
      </w:pPr>
      <w:r>
        <w:rPr>
          <w:rFonts w:hint="eastAsia" w:ascii="仿宋_GB2312" w:hAnsi="仿宋_GB2312" w:eastAsia="仿宋_GB2312"/>
          <w:color w:val="auto"/>
          <w:spacing w:val="0"/>
          <w:kern w:val="0"/>
          <w:sz w:val="32"/>
          <w:lang w:val="en-US"/>
        </w:rPr>
        <w:t>截止2021年12月31日，单位共有房屋8,456.21（平方米），价值254.36万元。车辆11辆，价值130.35万元</w:t>
      </w:r>
      <w:r>
        <w:rPr>
          <w:rFonts w:hint="eastAsia" w:ascii="仿宋_GB2312" w:hAnsi="仿宋_GB2312" w:eastAsia="仿宋_GB2312"/>
          <w:color w:val="auto"/>
          <w:spacing w:val="0"/>
          <w:kern w:val="0"/>
          <w:sz w:val="32"/>
          <w:lang w:val="en-US" w:eastAsia="zh-CN"/>
        </w:rPr>
        <w:t>（均为1980-1996年购买的车辆，目前已过了使用年限，属于待报废无法使用状态）</w:t>
      </w:r>
      <w:r>
        <w:rPr>
          <w:rFonts w:hint="eastAsia" w:ascii="仿宋_GB2312" w:hAnsi="仿宋_GB2312" w:eastAsia="仿宋_GB2312"/>
          <w:color w:val="auto"/>
          <w:spacing w:val="0"/>
          <w:kern w:val="0"/>
          <w:sz w:val="32"/>
          <w:lang w:val="en-US"/>
        </w:rPr>
        <w:t>，其中：副部（省）级及以上领导用车0辆、主要领导干部用车6辆、机要通信用车0辆、应急保障用车0辆、执法执勤用车0辆、特种专业技术用车0辆、离退休干部用车0辆、其他用车5辆，其他用车主要是：用来领取文件、送传资料、会务及外勤服务的公务用车；单位价值50万元以上通用设备1台（套）、单位价值100万元以上专用设备0台（套）。</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eastAsia="Times New Roman"/>
          <w:color w:val="auto"/>
          <w:spacing w:val="0"/>
          <w:sz w:val="32"/>
          <w:lang w:val="zh-CN"/>
        </w:rPr>
      </w:pPr>
      <w:r>
        <w:rPr>
          <w:rFonts w:hint="eastAsia" w:ascii="黑体" w:hAnsi="黑体" w:eastAsia="黑体"/>
          <w:color w:val="auto"/>
          <w:spacing w:val="0"/>
          <w:sz w:val="32"/>
          <w:lang w:val="zh-CN"/>
        </w:rPr>
        <w:t>十一、预算绩效的情况说明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olor w:val="auto"/>
          <w:spacing w:val="0"/>
          <w:kern w:val="0"/>
          <w:sz w:val="30"/>
          <w:lang w:val="en-US"/>
        </w:rPr>
      </w:pPr>
      <w:r>
        <w:rPr>
          <w:rFonts w:hint="eastAsia" w:ascii="仿宋_GB2312" w:hAnsi="仿宋_GB2312" w:eastAsia="仿宋_GB2312"/>
          <w:color w:val="auto"/>
          <w:spacing w:val="0"/>
          <w:kern w:val="0"/>
          <w:sz w:val="32"/>
          <w:lang w:val="en-US"/>
        </w:rPr>
        <w:t>根据预算绩效管理要求，我单位2021年度开展预算绩效评价项目</w:t>
      </w:r>
      <w:r>
        <w:rPr>
          <w:rFonts w:hint="eastAsia" w:ascii="仿宋_GB2312" w:hAnsi="仿宋_GB2312" w:eastAsia="仿宋_GB2312"/>
          <w:color w:val="auto"/>
          <w:spacing w:val="0"/>
          <w:kern w:val="0"/>
          <w:sz w:val="32"/>
          <w:lang w:val="en-US" w:eastAsia="zh-CN"/>
        </w:rPr>
        <w:t>5</w:t>
      </w:r>
      <w:r>
        <w:rPr>
          <w:rFonts w:hint="eastAsia" w:ascii="仿宋_GB2312" w:hAnsi="仿宋_GB2312" w:eastAsia="仿宋_GB2312"/>
          <w:color w:val="auto"/>
          <w:spacing w:val="0"/>
          <w:kern w:val="0"/>
          <w:sz w:val="32"/>
          <w:lang w:val="en-US"/>
        </w:rPr>
        <w:t>个，共涉及资金</w:t>
      </w:r>
      <w:r>
        <w:rPr>
          <w:rFonts w:hint="eastAsia" w:ascii="仿宋_GB2312" w:hAnsi="仿宋_GB2312" w:eastAsia="仿宋_GB2312"/>
          <w:color w:val="auto"/>
          <w:spacing w:val="0"/>
          <w:kern w:val="0"/>
          <w:sz w:val="32"/>
          <w:lang w:val="en-US" w:eastAsia="zh-CN"/>
        </w:rPr>
        <w:t>76.58</w:t>
      </w:r>
      <w:r>
        <w:rPr>
          <w:rFonts w:hint="eastAsia" w:ascii="仿宋_GB2312" w:hAnsi="仿宋_GB2312" w:eastAsia="仿宋_GB2312"/>
          <w:color w:val="auto"/>
          <w:spacing w:val="0"/>
          <w:kern w:val="0"/>
          <w:sz w:val="32"/>
          <w:lang w:val="en-US"/>
        </w:rPr>
        <w:t>万元。预算绩效管理取得的成效：</w:t>
      </w:r>
      <w:r>
        <w:rPr>
          <w:rFonts w:hint="eastAsia" w:ascii="仿宋_GB2312" w:hAnsi="仿宋_GB2312" w:eastAsia="仿宋_GB2312"/>
          <w:spacing w:val="0"/>
          <w:kern w:val="0"/>
          <w:sz w:val="32"/>
          <w:lang w:val="en-US"/>
        </w:rPr>
        <w:t>：</w:t>
      </w:r>
      <w:r>
        <w:rPr>
          <w:rFonts w:hint="eastAsia" w:ascii="仿宋_GB2312" w:hAnsi="仿宋_GB2312" w:eastAsia="仿宋_GB2312"/>
          <w:spacing w:val="0"/>
          <w:sz w:val="32"/>
          <w:lang w:eastAsia="zh-CN"/>
        </w:rPr>
        <w:t>一是做到了</w:t>
      </w:r>
      <w:r>
        <w:rPr>
          <w:rStyle w:val="4"/>
          <w:rFonts w:hint="eastAsia" w:ascii="仿宋_GB2312" w:hAnsi="仿宋_GB2312" w:eastAsia="仿宋_GB2312"/>
          <w:b w:val="0"/>
          <w:spacing w:val="0"/>
          <w:sz w:val="32"/>
        </w:rPr>
        <w:t>绩效评价结果与预算安排、政策调整、改进管理实质性挂钩，</w:t>
      </w:r>
      <w:r>
        <w:rPr>
          <w:rStyle w:val="4"/>
          <w:rFonts w:hint="eastAsia" w:ascii="仿宋_GB2312" w:hAnsi="仿宋_GB2312" w:eastAsia="仿宋_GB2312"/>
          <w:b w:val="0"/>
          <w:spacing w:val="0"/>
          <w:sz w:val="32"/>
          <w:lang w:eastAsia="zh-CN"/>
        </w:rPr>
        <w:t>使预算绩效</w:t>
      </w:r>
      <w:r>
        <w:rPr>
          <w:rStyle w:val="4"/>
          <w:rFonts w:hint="eastAsia" w:ascii="仿宋_GB2312" w:hAnsi="仿宋_GB2312" w:eastAsia="仿宋_GB2312"/>
          <w:b w:val="0"/>
          <w:spacing w:val="0"/>
          <w:sz w:val="32"/>
        </w:rPr>
        <w:t>安排</w:t>
      </w:r>
      <w:r>
        <w:rPr>
          <w:rStyle w:val="4"/>
          <w:rFonts w:hint="eastAsia" w:ascii="仿宋_GB2312" w:hAnsi="仿宋_GB2312" w:eastAsia="仿宋_GB2312"/>
          <w:b w:val="0"/>
          <w:spacing w:val="0"/>
          <w:sz w:val="32"/>
          <w:lang w:eastAsia="zh-CN"/>
        </w:rPr>
        <w:t>更合理，管理更科学、有效</w:t>
      </w:r>
      <w:r>
        <w:rPr>
          <w:rFonts w:hint="eastAsia" w:ascii="仿宋_GB2312" w:hAnsi="仿宋_GB2312" w:eastAsia="仿宋_GB2312"/>
          <w:spacing w:val="0"/>
          <w:sz w:val="32"/>
          <w:lang w:eastAsia="zh-CN"/>
        </w:rPr>
        <w:t>；二是通过</w:t>
      </w:r>
      <w:r>
        <w:rPr>
          <w:rStyle w:val="4"/>
          <w:rFonts w:hint="eastAsia" w:ascii="仿宋_GB2312" w:hAnsi="仿宋_GB2312" w:eastAsia="仿宋_GB2312"/>
          <w:b w:val="0"/>
          <w:spacing w:val="0"/>
          <w:sz w:val="32"/>
        </w:rPr>
        <w:t>动态绩效监控</w:t>
      </w:r>
      <w:r>
        <w:rPr>
          <w:rStyle w:val="4"/>
          <w:rFonts w:hint="eastAsia" w:ascii="仿宋_GB2312" w:hAnsi="仿宋_GB2312" w:eastAsia="仿宋_GB2312"/>
          <w:b w:val="0"/>
          <w:spacing w:val="0"/>
          <w:sz w:val="32"/>
          <w:lang w:eastAsia="zh-CN"/>
        </w:rPr>
        <w:t>，使</w:t>
      </w:r>
      <w:r>
        <w:rPr>
          <w:rStyle w:val="4"/>
          <w:rFonts w:hint="eastAsia" w:ascii="仿宋_GB2312" w:hAnsi="仿宋_GB2312" w:eastAsia="仿宋_GB2312"/>
          <w:b w:val="0"/>
          <w:spacing w:val="0"/>
          <w:sz w:val="32"/>
        </w:rPr>
        <w:t>项目申报、评审、审批、实施、验收等程序</w:t>
      </w:r>
      <w:r>
        <w:rPr>
          <w:rStyle w:val="4"/>
          <w:rFonts w:hint="eastAsia" w:ascii="仿宋_GB2312" w:hAnsi="仿宋_GB2312" w:eastAsia="仿宋_GB2312"/>
          <w:b w:val="0"/>
          <w:spacing w:val="0"/>
          <w:sz w:val="32"/>
          <w:lang w:eastAsia="zh-CN"/>
        </w:rPr>
        <w:t>更合理、</w:t>
      </w:r>
      <w:r>
        <w:rPr>
          <w:rStyle w:val="4"/>
          <w:rFonts w:hint="eastAsia" w:ascii="仿宋_GB2312" w:hAnsi="仿宋_GB2312" w:eastAsia="仿宋_GB2312"/>
          <w:b w:val="0"/>
          <w:spacing w:val="0"/>
          <w:sz w:val="32"/>
        </w:rPr>
        <w:t>合规，</w:t>
      </w:r>
      <w:r>
        <w:rPr>
          <w:rStyle w:val="4"/>
          <w:rFonts w:hint="eastAsia" w:ascii="仿宋_GB2312" w:hAnsi="仿宋_GB2312" w:eastAsia="仿宋_GB2312"/>
          <w:b w:val="0"/>
          <w:spacing w:val="0"/>
          <w:sz w:val="32"/>
          <w:lang w:eastAsia="zh-CN"/>
        </w:rPr>
        <w:t>杜绝</w:t>
      </w:r>
      <w:r>
        <w:rPr>
          <w:rStyle w:val="4"/>
          <w:rFonts w:hint="eastAsia" w:ascii="仿宋_GB2312" w:hAnsi="仿宋_GB2312" w:eastAsia="仿宋_GB2312"/>
          <w:b w:val="0"/>
          <w:spacing w:val="0"/>
          <w:sz w:val="32"/>
        </w:rPr>
        <w:t>资金截留、挪用等情况</w:t>
      </w:r>
      <w:r>
        <w:rPr>
          <w:rStyle w:val="4"/>
          <w:rFonts w:hint="eastAsia" w:ascii="仿宋_GB2312" w:hAnsi="仿宋_GB2312" w:eastAsia="仿宋_GB2312"/>
          <w:b w:val="0"/>
          <w:spacing w:val="0"/>
          <w:sz w:val="32"/>
          <w:lang w:eastAsia="zh-CN"/>
        </w:rPr>
        <w:t>发生</w:t>
      </w:r>
      <w:r>
        <w:rPr>
          <w:rFonts w:hint="eastAsia" w:ascii="仿宋_GB2312" w:hAnsi="仿宋_GB2312" w:eastAsia="仿宋_GB2312"/>
          <w:color w:val="auto"/>
          <w:spacing w:val="0"/>
          <w:kern w:val="0"/>
          <w:sz w:val="32"/>
          <w:lang w:val="en-US"/>
        </w:rPr>
        <w:t>。发现的问题及原因：</w:t>
      </w:r>
      <w:r>
        <w:rPr>
          <w:rFonts w:hint="eastAsia" w:ascii="仿宋_GB2312" w:hAnsi="仿宋_GB2312" w:eastAsia="仿宋_GB2312"/>
          <w:spacing w:val="0"/>
          <w:sz w:val="32"/>
          <w:lang w:eastAsia="zh-CN"/>
        </w:rPr>
        <w:t>一是</w:t>
      </w:r>
      <w:r>
        <w:rPr>
          <w:rFonts w:hint="eastAsia" w:ascii="仿宋_GB2312" w:hAnsi="仿宋_GB2312" w:eastAsia="仿宋_GB2312"/>
          <w:spacing w:val="0"/>
          <w:sz w:val="32"/>
        </w:rPr>
        <w:t>绩效设置专业性不强</w:t>
      </w:r>
      <w:r>
        <w:rPr>
          <w:rFonts w:hint="eastAsia" w:ascii="仿宋_GB2312" w:hAnsi="仿宋_GB2312" w:eastAsia="仿宋_GB2312"/>
          <w:spacing w:val="0"/>
          <w:sz w:val="32"/>
          <w:lang w:eastAsia="zh-CN"/>
        </w:rPr>
        <w:t>，后期监管时会有前期设置的指标无法全面反映项目使用情况的现象；二是</w:t>
      </w:r>
      <w:r>
        <w:rPr>
          <w:rFonts w:hint="eastAsia" w:ascii="仿宋_GB2312" w:hAnsi="仿宋_GB2312" w:eastAsia="仿宋_GB2312"/>
          <w:spacing w:val="0"/>
          <w:sz w:val="32"/>
        </w:rPr>
        <w:t>项目管理制度有待完善</w:t>
      </w:r>
      <w:r>
        <w:rPr>
          <w:rFonts w:hint="eastAsia" w:ascii="仿宋_GB2312" w:hAnsi="仿宋_GB2312" w:eastAsia="仿宋_GB2312"/>
          <w:spacing w:val="0"/>
          <w:sz w:val="32"/>
          <w:lang w:eastAsia="zh-CN"/>
        </w:rPr>
        <w:t>。</w:t>
      </w:r>
      <w:r>
        <w:rPr>
          <w:rFonts w:hint="eastAsia" w:ascii="仿宋_GB2312" w:hAnsi="仿宋_GB2312" w:eastAsia="仿宋_GB2312"/>
          <w:color w:val="auto"/>
          <w:spacing w:val="0"/>
          <w:kern w:val="0"/>
          <w:sz w:val="32"/>
          <w:lang w:val="en-US"/>
        </w:rPr>
        <w:t>下一步改进措施：</w:t>
      </w:r>
      <w:r>
        <w:rPr>
          <w:rFonts w:hint="eastAsia" w:ascii="仿宋_GB2312" w:hAnsi="仿宋_GB2312" w:eastAsia="仿宋_GB2312"/>
          <w:spacing w:val="0"/>
          <w:sz w:val="30"/>
          <w:lang w:eastAsia="zh-CN"/>
        </w:rPr>
        <w:t>一是加强材料收集核查和实时现场查看工作，与</w:t>
      </w:r>
      <w:r>
        <w:rPr>
          <w:rStyle w:val="4"/>
          <w:rFonts w:hint="eastAsia" w:ascii="仿宋_GB2312" w:hAnsi="仿宋_GB2312" w:eastAsia="仿宋_GB2312"/>
          <w:b w:val="0"/>
          <w:spacing w:val="0"/>
          <w:sz w:val="30"/>
        </w:rPr>
        <w:t>评价单位</w:t>
      </w:r>
      <w:r>
        <w:rPr>
          <w:rStyle w:val="4"/>
          <w:rFonts w:hint="eastAsia" w:ascii="仿宋_GB2312" w:hAnsi="仿宋_GB2312" w:eastAsia="仿宋_GB2312"/>
          <w:b w:val="0"/>
          <w:spacing w:val="0"/>
          <w:sz w:val="30"/>
          <w:lang w:eastAsia="zh-CN"/>
        </w:rPr>
        <w:t>做好</w:t>
      </w:r>
      <w:r>
        <w:rPr>
          <w:rStyle w:val="4"/>
          <w:rFonts w:hint="eastAsia" w:ascii="仿宋_GB2312" w:hAnsi="仿宋_GB2312" w:eastAsia="仿宋_GB2312"/>
          <w:b w:val="0"/>
          <w:spacing w:val="0"/>
          <w:sz w:val="30"/>
        </w:rPr>
        <w:t>意见交换</w:t>
      </w:r>
      <w:r>
        <w:rPr>
          <w:rStyle w:val="4"/>
          <w:rFonts w:hint="eastAsia" w:ascii="仿宋_GB2312" w:hAnsi="仿宋_GB2312" w:eastAsia="仿宋_GB2312"/>
          <w:b w:val="0"/>
          <w:spacing w:val="0"/>
          <w:sz w:val="30"/>
          <w:lang w:eastAsia="zh-CN"/>
        </w:rPr>
        <w:t>和督促整改，确保项目取得计划效益</w:t>
      </w:r>
      <w:r>
        <w:rPr>
          <w:rFonts w:hint="eastAsia" w:ascii="仿宋_GB2312" w:hAnsi="仿宋_GB2312" w:eastAsia="仿宋_GB2312"/>
          <w:spacing w:val="0"/>
          <w:sz w:val="30"/>
          <w:lang w:eastAsia="zh-CN"/>
        </w:rPr>
        <w:t>；二是认真学习，多方沟通，将项目绩效指标细化的更合理，执行更科学。</w:t>
      </w:r>
      <w:r>
        <w:rPr>
          <w:rFonts w:hint="eastAsia" w:ascii="仿宋_GB2312" w:hAnsi="仿宋_GB2312" w:eastAsia="仿宋_GB2312"/>
          <w:color w:val="auto"/>
          <w:spacing w:val="0"/>
          <w:kern w:val="0"/>
          <w:sz w:val="30"/>
          <w:lang w:val="en-US"/>
        </w:rPr>
        <w:t>具体项目自评情况附项目支出绩效自评表。</w:t>
      </w:r>
    </w:p>
    <w:p>
      <w:pPr>
        <w:shd w:val="clear" w:color="auto" w:fill="FFFFFF"/>
        <w:spacing w:line="360" w:lineRule="auto"/>
        <w:ind w:firstLine="640"/>
        <w:rPr>
          <w:rFonts w:hint="eastAsia" w:ascii="仿宋_GB2312" w:hAnsi="仿宋_GB2312" w:eastAsia="仿宋_GB2312"/>
          <w:color w:val="auto"/>
          <w:kern w:val="0"/>
          <w:sz w:val="30"/>
          <w:lang w:val="en-US"/>
        </w:rPr>
      </w:pPr>
    </w:p>
    <w:p>
      <w:pPr>
        <w:shd w:val="clear" w:color="auto" w:fill="FFFFFF"/>
        <w:spacing w:line="360" w:lineRule="auto"/>
        <w:ind w:firstLine="640"/>
        <w:rPr>
          <w:rFonts w:hint="eastAsia" w:ascii="仿宋_GB2312" w:hAnsi="仿宋_GB2312" w:eastAsia="仿宋_GB2312"/>
          <w:color w:val="auto"/>
          <w:kern w:val="0"/>
          <w:sz w:val="30"/>
          <w:lang w:val="en-US"/>
        </w:rPr>
      </w:pPr>
    </w:p>
    <w:p>
      <w:pPr>
        <w:shd w:val="clear" w:color="auto" w:fill="FFFFFF"/>
        <w:spacing w:line="360" w:lineRule="auto"/>
        <w:ind w:firstLine="640"/>
        <w:rPr>
          <w:rFonts w:hint="eastAsia" w:ascii="仿宋_GB2312" w:hAnsi="仿宋_GB2312" w:eastAsia="仿宋_GB2312"/>
          <w:color w:val="auto"/>
          <w:kern w:val="0"/>
          <w:sz w:val="30"/>
          <w:lang w:val="en-US"/>
        </w:rPr>
      </w:pPr>
    </w:p>
    <w:p>
      <w:pPr>
        <w:shd w:val="clear" w:color="auto" w:fill="FFFFFF"/>
        <w:spacing w:line="360" w:lineRule="auto"/>
        <w:ind w:firstLine="640"/>
        <w:rPr>
          <w:rFonts w:hint="eastAsia" w:ascii="仿宋_GB2312" w:hAnsi="仿宋_GB2312" w:eastAsia="仿宋_GB2312"/>
          <w:color w:val="auto"/>
          <w:kern w:val="0"/>
          <w:sz w:val="30"/>
          <w:lang w:val="en-US"/>
        </w:rPr>
      </w:pPr>
    </w:p>
    <w:p>
      <w:pPr>
        <w:shd w:val="clear" w:color="auto" w:fill="FFFFFF"/>
        <w:spacing w:line="360" w:lineRule="auto"/>
        <w:ind w:firstLine="640"/>
        <w:rPr>
          <w:rFonts w:hint="eastAsia" w:ascii="仿宋_GB2312" w:hAnsi="仿宋_GB2312" w:eastAsia="仿宋_GB2312"/>
          <w:color w:val="auto"/>
          <w:kern w:val="0"/>
          <w:sz w:val="30"/>
          <w:lang w:val="en-US"/>
        </w:rPr>
      </w:pPr>
    </w:p>
    <w:p>
      <w:pPr>
        <w:shd w:val="clear" w:color="auto" w:fill="FFFFFF"/>
        <w:spacing w:line="360" w:lineRule="auto"/>
        <w:ind w:firstLine="640"/>
        <w:rPr>
          <w:rFonts w:hint="eastAsia" w:ascii="仿宋_GB2312" w:hAnsi="仿宋_GB2312" w:eastAsia="仿宋_GB2312"/>
          <w:color w:val="auto"/>
          <w:kern w:val="0"/>
          <w:sz w:val="30"/>
          <w:lang w:val="en-US"/>
        </w:rPr>
      </w:pPr>
    </w:p>
    <w:p>
      <w:pPr>
        <w:shd w:val="clear" w:color="auto" w:fill="FFFFFF"/>
        <w:spacing w:line="360" w:lineRule="auto"/>
        <w:ind w:firstLine="640"/>
        <w:rPr>
          <w:rFonts w:hint="eastAsia" w:ascii="仿宋_GB2312" w:hAnsi="仿宋_GB2312" w:eastAsia="仿宋_GB2312"/>
          <w:color w:val="auto"/>
          <w:kern w:val="0"/>
          <w:sz w:val="30"/>
          <w:lang w:val="en-US"/>
        </w:rPr>
      </w:pPr>
    </w:p>
    <w:p>
      <w:pPr>
        <w:shd w:val="clear" w:color="auto" w:fill="FFFFFF"/>
        <w:spacing w:line="360" w:lineRule="auto"/>
        <w:ind w:firstLine="640"/>
        <w:rPr>
          <w:rFonts w:hint="eastAsia" w:ascii="仿宋_GB2312" w:hAnsi="仿宋_GB2312" w:eastAsia="仿宋_GB2312"/>
          <w:color w:val="auto"/>
          <w:kern w:val="0"/>
          <w:sz w:val="30"/>
          <w:lang w:val="en-US"/>
        </w:rPr>
      </w:pPr>
    </w:p>
    <w:tbl>
      <w:tblPr>
        <w:tblStyle w:val="2"/>
        <w:tblW w:w="9900" w:type="dxa"/>
        <w:tblInd w:w="-4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95"/>
        <w:gridCol w:w="810"/>
        <w:gridCol w:w="30"/>
        <w:gridCol w:w="1350"/>
        <w:gridCol w:w="330"/>
        <w:gridCol w:w="1140"/>
        <w:gridCol w:w="705"/>
        <w:gridCol w:w="900"/>
        <w:gridCol w:w="1005"/>
        <w:gridCol w:w="645"/>
        <w:gridCol w:w="720"/>
        <w:gridCol w:w="720"/>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9900" w:type="dxa"/>
            <w:gridSpan w:val="13"/>
            <w:tcBorders>
              <w:top w:val="nil"/>
              <w:left w:val="nil"/>
              <w:bottom w:val="nil"/>
              <w:right w:val="nil"/>
              <w:tl2br w:val="nil"/>
              <w:tr2bl w:val="nil"/>
            </w:tcBorders>
            <w:noWrap w:val="0"/>
            <w:tcMar>
              <w:top w:w="15" w:type="dxa"/>
              <w:left w:w="15" w:type="dxa"/>
              <w:right w:w="15" w:type="dxa"/>
            </w:tcMar>
            <w:vAlign w:val="center"/>
          </w:tcPr>
          <w:p>
            <w:pPr>
              <w:jc w:val="center"/>
              <w:textAlignment w:val="center"/>
              <w:rPr>
                <w:rFonts w:hint="eastAsia" w:ascii="宋体" w:hAnsi="宋体"/>
                <w:b/>
                <w:color w:val="000000"/>
                <w:sz w:val="32"/>
              </w:rPr>
            </w:pPr>
            <w:r>
              <w:rPr>
                <w:rFonts w:hint="eastAsia" w:ascii="宋体" w:hAnsi="宋体"/>
                <w:b/>
                <w:color w:val="000000"/>
                <w:kern w:val="0"/>
                <w:sz w:val="32"/>
                <w:lang w:val="en-US" w:eastAsia="zh-CN"/>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900" w:type="dxa"/>
            <w:gridSpan w:val="13"/>
            <w:tcBorders>
              <w:top w:val="nil"/>
              <w:left w:val="nil"/>
              <w:bottom w:val="nil"/>
              <w:right w:val="nil"/>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20"/>
              </w:rPr>
            </w:pPr>
            <w:r>
              <w:rPr>
                <w:rFonts w:hint="eastAsia" w:ascii="宋体" w:hAnsi="宋体"/>
                <w:color w:val="000000"/>
                <w:kern w:val="0"/>
                <w:sz w:val="20"/>
                <w:lang w:val="en-US" w:eastAsia="zh-CN"/>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63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项目名称</w:t>
            </w:r>
          </w:p>
        </w:tc>
        <w:tc>
          <w:tcPr>
            <w:tcW w:w="8265" w:type="dxa"/>
            <w:gridSpan w:val="10"/>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kern w:val="0"/>
                <w:sz w:val="16"/>
                <w:lang w:val="en-US" w:eastAsia="zh-CN"/>
              </w:rPr>
            </w:pPr>
            <w:r>
              <w:rPr>
                <w:rFonts w:hint="eastAsia" w:ascii="宋体" w:hAnsi="宋体"/>
                <w:color w:val="000000"/>
                <w:kern w:val="0"/>
                <w:sz w:val="16"/>
                <w:lang w:val="en-US" w:eastAsia="zh-CN"/>
              </w:rPr>
              <w:t>生态环境保护督查办公经费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63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主管部门</w:t>
            </w:r>
          </w:p>
        </w:tc>
        <w:tc>
          <w:tcPr>
            <w:tcW w:w="4425"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kern w:val="0"/>
                <w:sz w:val="16"/>
                <w:lang w:val="en-US" w:eastAsia="zh-CN"/>
              </w:rPr>
            </w:pPr>
            <w:r>
              <w:rPr>
                <w:rFonts w:hint="eastAsia" w:ascii="宋体" w:hAnsi="宋体"/>
                <w:color w:val="000000"/>
                <w:kern w:val="0"/>
                <w:sz w:val="16"/>
                <w:lang w:val="en-US" w:eastAsia="zh-CN"/>
              </w:rPr>
              <w:t>政府办公室</w:t>
            </w:r>
          </w:p>
        </w:tc>
        <w:tc>
          <w:tcPr>
            <w:tcW w:w="16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实施单位</w:t>
            </w:r>
          </w:p>
        </w:tc>
        <w:tc>
          <w:tcPr>
            <w:tcW w:w="21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635" w:type="dxa"/>
            <w:gridSpan w:val="3"/>
            <w:vMerge w:val="restart"/>
            <w:tcBorders>
              <w:top w:val="single" w:color="000000" w:sz="4" w:space="0"/>
              <w:left w:val="single" w:color="000000" w:sz="4" w:space="0"/>
              <w:bottom w:val="nil"/>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r>
              <w:rPr>
                <w:rFonts w:hint="eastAsia" w:ascii="宋体" w:hAnsi="宋体"/>
                <w:color w:val="000000"/>
                <w:kern w:val="0"/>
                <w:sz w:val="16"/>
                <w:lang w:val="en-US" w:eastAsia="zh-CN"/>
              </w:rPr>
              <w:t>项目资金</w:t>
            </w:r>
            <w:r>
              <w:rPr>
                <w:rFonts w:hint="eastAsia" w:ascii="宋体" w:hAnsi="宋体"/>
                <w:color w:val="000000"/>
                <w:kern w:val="0"/>
                <w:sz w:val="16"/>
                <w:lang w:val="en-US" w:eastAsia="zh-CN"/>
              </w:rPr>
              <w:br w:type="textWrapping"/>
            </w:r>
            <w:r>
              <w:rPr>
                <w:rFonts w:hint="eastAsia" w:ascii="宋体" w:hAnsi="宋体"/>
                <w:color w:val="000000"/>
                <w:kern w:val="0"/>
                <w:sz w:val="16"/>
                <w:lang w:val="en-US" w:eastAsia="zh-CN"/>
              </w:rPr>
              <w:t>（万元）</w:t>
            </w:r>
          </w:p>
        </w:tc>
        <w:tc>
          <w:tcPr>
            <w:tcW w:w="168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年初预算数</w:t>
            </w:r>
          </w:p>
        </w:tc>
        <w:tc>
          <w:tcPr>
            <w:tcW w:w="160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全年预算数</w:t>
            </w:r>
          </w:p>
        </w:tc>
        <w:tc>
          <w:tcPr>
            <w:tcW w:w="16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全年执行数</w:t>
            </w: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分值</w:t>
            </w: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执行率</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635" w:type="dxa"/>
            <w:gridSpan w:val="3"/>
            <w:vMerge w:val="continue"/>
            <w:tcBorders>
              <w:top w:val="nil"/>
              <w:left w:val="single" w:color="000000" w:sz="4" w:space="0"/>
              <w:bottom w:val="nil"/>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kern w:val="0"/>
                <w:sz w:val="16"/>
                <w:lang w:val="en-US" w:eastAsia="zh-CN"/>
              </w:rPr>
            </w:pPr>
          </w:p>
        </w:tc>
        <w:tc>
          <w:tcPr>
            <w:tcW w:w="168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kern w:val="0"/>
                <w:sz w:val="16"/>
                <w:lang w:val="en-US" w:eastAsia="zh-CN"/>
              </w:rPr>
            </w:pPr>
            <w:r>
              <w:rPr>
                <w:rFonts w:hint="eastAsia" w:ascii="宋体" w:hAnsi="宋体"/>
                <w:color w:val="000000"/>
                <w:kern w:val="0"/>
                <w:sz w:val="16"/>
                <w:lang w:val="en-US" w:eastAsia="zh-CN"/>
              </w:rPr>
              <w:t>年度资金总额</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20.00</w:t>
            </w:r>
          </w:p>
        </w:tc>
        <w:tc>
          <w:tcPr>
            <w:tcW w:w="160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20.00</w:t>
            </w:r>
          </w:p>
        </w:tc>
        <w:tc>
          <w:tcPr>
            <w:tcW w:w="16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20.00</w:t>
            </w: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w:t>
            </w: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100.00%</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635" w:type="dxa"/>
            <w:gridSpan w:val="3"/>
            <w:vMerge w:val="continue"/>
            <w:tcBorders>
              <w:top w:val="nil"/>
              <w:left w:val="single" w:color="000000" w:sz="4" w:space="0"/>
              <w:bottom w:val="nil"/>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kern w:val="0"/>
                <w:sz w:val="16"/>
                <w:lang w:val="en-US" w:eastAsia="zh-CN"/>
              </w:rPr>
            </w:pPr>
          </w:p>
        </w:tc>
        <w:tc>
          <w:tcPr>
            <w:tcW w:w="168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kern w:val="0"/>
                <w:sz w:val="16"/>
                <w:lang w:val="en-US" w:eastAsia="zh-CN"/>
              </w:rPr>
            </w:pPr>
            <w:r>
              <w:rPr>
                <w:rFonts w:hint="eastAsia" w:ascii="宋体" w:hAnsi="宋体"/>
                <w:color w:val="000000"/>
                <w:kern w:val="0"/>
                <w:sz w:val="16"/>
                <w:lang w:val="en-US" w:eastAsia="zh-CN"/>
              </w:rPr>
              <w:t>其中：当年财政拨款</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20</w:t>
            </w:r>
          </w:p>
        </w:tc>
        <w:tc>
          <w:tcPr>
            <w:tcW w:w="160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20</w:t>
            </w:r>
          </w:p>
        </w:tc>
        <w:tc>
          <w:tcPr>
            <w:tcW w:w="16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20</w:t>
            </w: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635" w:type="dxa"/>
            <w:gridSpan w:val="3"/>
            <w:vMerge w:val="continue"/>
            <w:tcBorders>
              <w:top w:val="nil"/>
              <w:left w:val="single" w:color="000000" w:sz="4" w:space="0"/>
              <w:bottom w:val="nil"/>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kern w:val="0"/>
                <w:sz w:val="16"/>
                <w:lang w:val="en-US" w:eastAsia="zh-CN"/>
              </w:rPr>
            </w:pPr>
          </w:p>
        </w:tc>
        <w:tc>
          <w:tcPr>
            <w:tcW w:w="168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kern w:val="0"/>
                <w:sz w:val="16"/>
                <w:lang w:val="en-US" w:eastAsia="zh-CN"/>
              </w:rPr>
            </w:pPr>
            <w:r>
              <w:rPr>
                <w:rFonts w:hint="eastAsia" w:ascii="宋体" w:hAnsi="宋体"/>
                <w:color w:val="000000"/>
                <w:kern w:val="0"/>
                <w:sz w:val="16"/>
                <w:lang w:val="en-US" w:eastAsia="zh-CN"/>
              </w:rPr>
              <w:t xml:space="preserve">      上年结转资金</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0</w:t>
            </w:r>
          </w:p>
        </w:tc>
        <w:tc>
          <w:tcPr>
            <w:tcW w:w="160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0</w:t>
            </w:r>
          </w:p>
        </w:tc>
        <w:tc>
          <w:tcPr>
            <w:tcW w:w="16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0</w:t>
            </w: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635" w:type="dxa"/>
            <w:gridSpan w:val="3"/>
            <w:vMerge w:val="continue"/>
            <w:tcBorders>
              <w:top w:val="nil"/>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kern w:val="0"/>
                <w:sz w:val="16"/>
                <w:lang w:val="en-US" w:eastAsia="zh-CN"/>
              </w:rPr>
            </w:pPr>
          </w:p>
        </w:tc>
        <w:tc>
          <w:tcPr>
            <w:tcW w:w="168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kern w:val="0"/>
                <w:sz w:val="16"/>
                <w:lang w:val="en-US" w:eastAsia="zh-CN"/>
              </w:rPr>
            </w:pPr>
            <w:r>
              <w:rPr>
                <w:rFonts w:hint="eastAsia" w:ascii="宋体" w:hAnsi="宋体"/>
                <w:color w:val="000000"/>
                <w:kern w:val="0"/>
                <w:sz w:val="16"/>
                <w:lang w:val="en-US" w:eastAsia="zh-CN"/>
              </w:rPr>
              <w:t xml:space="preserve">  其他资金</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0</w:t>
            </w:r>
          </w:p>
        </w:tc>
        <w:tc>
          <w:tcPr>
            <w:tcW w:w="160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0</w:t>
            </w:r>
          </w:p>
        </w:tc>
        <w:tc>
          <w:tcPr>
            <w:tcW w:w="16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0</w:t>
            </w: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7" w:hRule="atLeast"/>
        </w:trPr>
        <w:tc>
          <w:tcPr>
            <w:tcW w:w="79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年度总体目标</w:t>
            </w:r>
          </w:p>
        </w:tc>
        <w:tc>
          <w:tcPr>
            <w:tcW w:w="5265"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预期目标</w:t>
            </w:r>
          </w:p>
        </w:tc>
        <w:tc>
          <w:tcPr>
            <w:tcW w:w="3840"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0" w:hRule="atLeast"/>
        </w:trPr>
        <w:tc>
          <w:tcPr>
            <w:tcW w:w="79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5265"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做好我区迎接生态环境保护督察工作的后勤保障工作，确保迎检工作能按期、保质、保量完成。</w:t>
            </w:r>
          </w:p>
        </w:tc>
        <w:tc>
          <w:tcPr>
            <w:tcW w:w="3840"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该项经费解决了迎检工作组办公用品及打印机耗材购置、材料档案装订整理工具的购买、人员加班物品及食品购置等问题，有效解决了迎检工作组的物资保障问题，从软、硬件上提供了有效支持，解决了后顾之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79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1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一级指标</w:t>
            </w:r>
          </w:p>
        </w:tc>
        <w:tc>
          <w:tcPr>
            <w:tcW w:w="138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二级指标</w:t>
            </w:r>
          </w:p>
        </w:tc>
        <w:tc>
          <w:tcPr>
            <w:tcW w:w="2175"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三级指标</w:t>
            </w:r>
          </w:p>
        </w:tc>
        <w:tc>
          <w:tcPr>
            <w:tcW w:w="90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年度指标值</w:t>
            </w:r>
          </w:p>
        </w:tc>
        <w:tc>
          <w:tcPr>
            <w:tcW w:w="100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实际完成值</w:t>
            </w:r>
          </w:p>
        </w:tc>
        <w:tc>
          <w:tcPr>
            <w:tcW w:w="64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分值</w:t>
            </w:r>
          </w:p>
        </w:tc>
        <w:tc>
          <w:tcPr>
            <w:tcW w:w="7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得分</w:t>
            </w:r>
          </w:p>
        </w:tc>
        <w:tc>
          <w:tcPr>
            <w:tcW w:w="147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79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38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2175"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90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00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64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47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0" w:hRule="atLeast"/>
        </w:trPr>
        <w:tc>
          <w:tcPr>
            <w:tcW w:w="79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年度绩效指标完成情况</w:t>
            </w:r>
          </w:p>
        </w:tc>
        <w:tc>
          <w:tcPr>
            <w:tcW w:w="81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产出指标</w:t>
            </w:r>
          </w:p>
        </w:tc>
        <w:tc>
          <w:tcPr>
            <w:tcW w:w="138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数量指标</w:t>
            </w:r>
          </w:p>
        </w:tc>
        <w:tc>
          <w:tcPr>
            <w:tcW w:w="217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生态环境保护督察迎检组数量</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=1个</w:t>
            </w: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1个</w:t>
            </w:r>
          </w:p>
        </w:tc>
        <w:tc>
          <w:tcPr>
            <w:tcW w:w="64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79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38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数量指标</w:t>
            </w:r>
          </w:p>
        </w:tc>
        <w:tc>
          <w:tcPr>
            <w:tcW w:w="217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生态环境保护督察迎检组人数</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&lt;=40人</w:t>
            </w: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35人</w:t>
            </w:r>
          </w:p>
        </w:tc>
        <w:tc>
          <w:tcPr>
            <w:tcW w:w="64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trPr>
        <w:tc>
          <w:tcPr>
            <w:tcW w:w="79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38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数量指标</w:t>
            </w:r>
          </w:p>
        </w:tc>
        <w:tc>
          <w:tcPr>
            <w:tcW w:w="217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购置耗材（墨粉盒、碳粉盒、硒鼓、定影器等）个数</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&lt;=180个</w:t>
            </w: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146个</w:t>
            </w:r>
          </w:p>
        </w:tc>
        <w:tc>
          <w:tcPr>
            <w:tcW w:w="64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5" w:hRule="atLeast"/>
        </w:trPr>
        <w:tc>
          <w:tcPr>
            <w:tcW w:w="79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38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质量指标</w:t>
            </w:r>
          </w:p>
        </w:tc>
        <w:tc>
          <w:tcPr>
            <w:tcW w:w="217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环保迎检组后勤保障率</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w:t>
            </w: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w:t>
            </w:r>
          </w:p>
        </w:tc>
        <w:tc>
          <w:tcPr>
            <w:tcW w:w="64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79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38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时效指标</w:t>
            </w:r>
          </w:p>
        </w:tc>
        <w:tc>
          <w:tcPr>
            <w:tcW w:w="217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项目完成时间</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5"/>
              </w:rPr>
            </w:pPr>
            <w:r>
              <w:rPr>
                <w:rFonts w:hint="eastAsia" w:ascii="宋体" w:hAnsi="宋体"/>
                <w:color w:val="000000"/>
                <w:kern w:val="0"/>
                <w:sz w:val="15"/>
                <w:lang w:val="en-US" w:eastAsia="zh-CN"/>
              </w:rPr>
              <w:t>2021年12月</w:t>
            </w: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5"/>
              </w:rPr>
            </w:pPr>
            <w:r>
              <w:rPr>
                <w:rFonts w:hint="eastAsia" w:ascii="宋体" w:hAnsi="宋体"/>
                <w:color w:val="000000"/>
                <w:kern w:val="0"/>
                <w:sz w:val="15"/>
                <w:lang w:val="en-US" w:eastAsia="zh-CN"/>
              </w:rPr>
              <w:t>2021年12月</w:t>
            </w:r>
          </w:p>
        </w:tc>
        <w:tc>
          <w:tcPr>
            <w:tcW w:w="64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79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38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成本指标</w:t>
            </w:r>
          </w:p>
        </w:tc>
        <w:tc>
          <w:tcPr>
            <w:tcW w:w="217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预算控制率</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&lt;=95%</w:t>
            </w: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95%</w:t>
            </w:r>
          </w:p>
        </w:tc>
        <w:tc>
          <w:tcPr>
            <w:tcW w:w="64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w:t>
            </w: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5" w:hRule="atLeast"/>
        </w:trPr>
        <w:tc>
          <w:tcPr>
            <w:tcW w:w="79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38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成本指标</w:t>
            </w:r>
          </w:p>
        </w:tc>
        <w:tc>
          <w:tcPr>
            <w:tcW w:w="217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购买耗材费用（墨粉盒、碳粉盒、硒鼓、定影器等）费用</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&lt;=13万元</w:t>
            </w: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13万元</w:t>
            </w:r>
          </w:p>
        </w:tc>
        <w:tc>
          <w:tcPr>
            <w:tcW w:w="64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5" w:hRule="atLeast"/>
        </w:trPr>
        <w:tc>
          <w:tcPr>
            <w:tcW w:w="79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38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成本指标</w:t>
            </w:r>
          </w:p>
        </w:tc>
        <w:tc>
          <w:tcPr>
            <w:tcW w:w="217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购买办公用品、纸制品、档案耗材</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&lt;=5万</w:t>
            </w: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5万元</w:t>
            </w:r>
          </w:p>
        </w:tc>
        <w:tc>
          <w:tcPr>
            <w:tcW w:w="64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79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38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成本指标</w:t>
            </w:r>
          </w:p>
        </w:tc>
        <w:tc>
          <w:tcPr>
            <w:tcW w:w="217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购置值班用品及食品</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&lt;=3万元</w:t>
            </w: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2万元</w:t>
            </w:r>
          </w:p>
        </w:tc>
        <w:tc>
          <w:tcPr>
            <w:tcW w:w="64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5" w:hRule="atLeast"/>
        </w:trPr>
        <w:tc>
          <w:tcPr>
            <w:tcW w:w="79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1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效益指标</w:t>
            </w:r>
          </w:p>
        </w:tc>
        <w:tc>
          <w:tcPr>
            <w:tcW w:w="138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经济效益指标</w:t>
            </w:r>
          </w:p>
        </w:tc>
        <w:tc>
          <w:tcPr>
            <w:tcW w:w="217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64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5" w:hRule="atLeast"/>
        </w:trPr>
        <w:tc>
          <w:tcPr>
            <w:tcW w:w="79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38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社会效益指标</w:t>
            </w:r>
          </w:p>
        </w:tc>
        <w:tc>
          <w:tcPr>
            <w:tcW w:w="217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顺利保障迎检督察工作正常有序开展</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有效保障</w:t>
            </w: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有效保障</w:t>
            </w:r>
          </w:p>
        </w:tc>
        <w:tc>
          <w:tcPr>
            <w:tcW w:w="64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15</w:t>
            </w: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15</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79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38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生态效益指标</w:t>
            </w:r>
          </w:p>
        </w:tc>
        <w:tc>
          <w:tcPr>
            <w:tcW w:w="217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64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79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38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可持续影响指标</w:t>
            </w:r>
          </w:p>
        </w:tc>
        <w:tc>
          <w:tcPr>
            <w:tcW w:w="217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后勤保障时间</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&lt;1年</w:t>
            </w: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1年</w:t>
            </w:r>
          </w:p>
        </w:tc>
        <w:tc>
          <w:tcPr>
            <w:tcW w:w="64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15</w:t>
            </w: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15</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79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满意度指标</w:t>
            </w:r>
          </w:p>
        </w:tc>
        <w:tc>
          <w:tcPr>
            <w:tcW w:w="138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满意度指标</w:t>
            </w:r>
          </w:p>
        </w:tc>
        <w:tc>
          <w:tcPr>
            <w:tcW w:w="217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迎检组工作人员满意度</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&gt;=95%</w:t>
            </w: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95%</w:t>
            </w:r>
          </w:p>
        </w:tc>
        <w:tc>
          <w:tcPr>
            <w:tcW w:w="64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w:t>
            </w: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79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总分</w:t>
            </w:r>
          </w:p>
        </w:tc>
        <w:tc>
          <w:tcPr>
            <w:tcW w:w="6915" w:type="dxa"/>
            <w:gridSpan w:val="9"/>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w:t>
            </w: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100.00分</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r>
    </w:tbl>
    <w:p>
      <w:pPr>
        <w:shd w:val="clear" w:color="auto" w:fill="FFFFFF"/>
        <w:spacing w:before="100" w:line="520" w:lineRule="exact"/>
        <w:rPr>
          <w:rFonts w:hint="default" w:eastAsia="Times New Roman"/>
          <w:color w:val="auto"/>
          <w:kern w:val="0"/>
          <w:sz w:val="24"/>
          <w:highlight w:val="white"/>
          <w:lang w:val="en-US"/>
        </w:rPr>
      </w:pPr>
    </w:p>
    <w:tbl>
      <w:tblPr>
        <w:tblStyle w:val="2"/>
        <w:tblW w:w="9556" w:type="dxa"/>
        <w:tblInd w:w="-3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0"/>
        <w:gridCol w:w="795"/>
        <w:gridCol w:w="870"/>
        <w:gridCol w:w="600"/>
        <w:gridCol w:w="1380"/>
        <w:gridCol w:w="1"/>
        <w:gridCol w:w="974"/>
        <w:gridCol w:w="1"/>
        <w:gridCol w:w="809"/>
        <w:gridCol w:w="705"/>
        <w:gridCol w:w="1"/>
        <w:gridCol w:w="614"/>
        <w:gridCol w:w="1"/>
        <w:gridCol w:w="209"/>
        <w:gridCol w:w="645"/>
        <w:gridCol w:w="1"/>
        <w:gridCol w:w="1169"/>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 w:type="dxa"/>
          <w:trHeight w:val="405" w:hRule="atLeast"/>
        </w:trPr>
        <w:tc>
          <w:tcPr>
            <w:tcW w:w="9555" w:type="dxa"/>
            <w:gridSpan w:val="17"/>
            <w:tcBorders>
              <w:top w:val="nil"/>
              <w:left w:val="nil"/>
              <w:bottom w:val="nil"/>
              <w:right w:val="nil"/>
              <w:tl2br w:val="nil"/>
              <w:tr2bl w:val="nil"/>
            </w:tcBorders>
            <w:noWrap w:val="0"/>
            <w:tcMar>
              <w:top w:w="15" w:type="dxa"/>
              <w:left w:w="15" w:type="dxa"/>
              <w:right w:w="15" w:type="dxa"/>
            </w:tcMar>
            <w:vAlign w:val="center"/>
          </w:tcPr>
          <w:p>
            <w:pPr>
              <w:jc w:val="center"/>
              <w:textAlignment w:val="center"/>
              <w:rPr>
                <w:rFonts w:hint="eastAsia" w:ascii="宋体" w:hAnsi="宋体"/>
                <w:b/>
                <w:color w:val="000000"/>
                <w:sz w:val="32"/>
              </w:rPr>
            </w:pPr>
            <w:r>
              <w:rPr>
                <w:rFonts w:hint="eastAsia" w:ascii="宋体" w:hAnsi="宋体"/>
                <w:b/>
                <w:color w:val="000000"/>
                <w:kern w:val="0"/>
                <w:sz w:val="32"/>
                <w:lang w:val="en-US" w:eastAsia="zh-CN"/>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 w:type="dxa"/>
          <w:trHeight w:val="270" w:hRule="atLeast"/>
        </w:trPr>
        <w:tc>
          <w:tcPr>
            <w:tcW w:w="9555" w:type="dxa"/>
            <w:gridSpan w:val="17"/>
            <w:tcBorders>
              <w:top w:val="nil"/>
              <w:left w:val="nil"/>
              <w:bottom w:val="nil"/>
              <w:right w:val="nil"/>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20"/>
              </w:rPr>
            </w:pPr>
            <w:r>
              <w:rPr>
                <w:rFonts w:hint="eastAsia" w:ascii="宋体" w:hAnsi="宋体"/>
                <w:color w:val="000000"/>
                <w:kern w:val="0"/>
                <w:sz w:val="20"/>
                <w:lang w:val="en-US" w:eastAsia="zh-CN"/>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 w:type="dxa"/>
          <w:trHeight w:val="396" w:hRule="atLeast"/>
        </w:trPr>
        <w:tc>
          <w:tcPr>
            <w:tcW w:w="15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项目名称</w:t>
            </w:r>
          </w:p>
        </w:tc>
        <w:tc>
          <w:tcPr>
            <w:tcW w:w="7980" w:type="dxa"/>
            <w:gridSpan w:val="1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kern w:val="0"/>
                <w:sz w:val="16"/>
                <w:lang w:val="en-US" w:eastAsia="zh-CN"/>
              </w:rPr>
            </w:pPr>
            <w:r>
              <w:rPr>
                <w:rFonts w:hint="eastAsia" w:ascii="宋体" w:hAnsi="宋体"/>
                <w:color w:val="000000"/>
                <w:kern w:val="0"/>
                <w:sz w:val="16"/>
                <w:lang w:val="en-US" w:eastAsia="zh-CN"/>
              </w:rPr>
              <w:t>2020年度机房外包服务费用（2021年第二次财经会纪要）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 w:type="dxa"/>
          <w:trHeight w:val="266" w:hRule="atLeast"/>
        </w:trPr>
        <w:tc>
          <w:tcPr>
            <w:tcW w:w="15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主管部门</w:t>
            </w:r>
          </w:p>
        </w:tc>
        <w:tc>
          <w:tcPr>
            <w:tcW w:w="3825"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kern w:val="0"/>
                <w:sz w:val="16"/>
                <w:lang w:val="en-US" w:eastAsia="zh-CN"/>
              </w:rPr>
            </w:pPr>
            <w:r>
              <w:rPr>
                <w:rFonts w:hint="eastAsia" w:ascii="宋体" w:hAnsi="宋体"/>
                <w:color w:val="000000"/>
                <w:kern w:val="0"/>
                <w:sz w:val="16"/>
                <w:lang w:val="en-US" w:eastAsia="zh-CN"/>
              </w:rPr>
              <w:t>政府办公室</w:t>
            </w:r>
          </w:p>
        </w:tc>
        <w:tc>
          <w:tcPr>
            <w:tcW w:w="151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实施单位</w:t>
            </w:r>
          </w:p>
        </w:tc>
        <w:tc>
          <w:tcPr>
            <w:tcW w:w="2640"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 w:type="dxa"/>
          <w:trHeight w:val="396" w:hRule="atLeast"/>
        </w:trPr>
        <w:tc>
          <w:tcPr>
            <w:tcW w:w="1575" w:type="dxa"/>
            <w:gridSpan w:val="2"/>
            <w:vMerge w:val="restart"/>
            <w:tcBorders>
              <w:top w:val="single" w:color="000000" w:sz="4" w:space="0"/>
              <w:left w:val="single" w:color="000000" w:sz="4" w:space="0"/>
              <w:bottom w:val="nil"/>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r>
              <w:rPr>
                <w:rFonts w:hint="eastAsia" w:ascii="宋体" w:hAnsi="宋体"/>
                <w:color w:val="000000"/>
                <w:sz w:val="16"/>
                <w:lang w:val="en-US" w:eastAsia="zh-CN"/>
              </w:rPr>
              <w:t>项目资金</w:t>
            </w:r>
            <w:r>
              <w:rPr>
                <w:rFonts w:hint="eastAsia" w:ascii="宋体" w:hAnsi="宋体"/>
                <w:color w:val="000000"/>
                <w:sz w:val="16"/>
                <w:lang w:val="en-US" w:eastAsia="zh-CN"/>
              </w:rPr>
              <w:br w:type="textWrapping"/>
            </w:r>
            <w:r>
              <w:rPr>
                <w:rFonts w:hint="eastAsia" w:ascii="宋体" w:hAnsi="宋体"/>
                <w:color w:val="000000"/>
                <w:sz w:val="16"/>
                <w:lang w:val="en-US" w:eastAsia="zh-CN"/>
              </w:rPr>
              <w:t>（万元）</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年初预算数</w:t>
            </w:r>
          </w:p>
        </w:tc>
        <w:tc>
          <w:tcPr>
            <w:tcW w:w="9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全年预算数</w:t>
            </w:r>
          </w:p>
        </w:tc>
        <w:tc>
          <w:tcPr>
            <w:tcW w:w="151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全年执行数</w:t>
            </w:r>
          </w:p>
        </w:tc>
        <w:tc>
          <w:tcPr>
            <w:tcW w:w="61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分值</w:t>
            </w:r>
          </w:p>
        </w:tc>
        <w:tc>
          <w:tcPr>
            <w:tcW w:w="85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执行率</w:t>
            </w:r>
          </w:p>
        </w:tc>
        <w:tc>
          <w:tcPr>
            <w:tcW w:w="11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575" w:type="dxa"/>
            <w:gridSpan w:val="2"/>
            <w:vMerge w:val="continue"/>
            <w:tcBorders>
              <w:top w:val="nil"/>
              <w:left w:val="single" w:color="000000" w:sz="4" w:space="0"/>
              <w:bottom w:val="nil"/>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lang w:val="en-US" w:eastAsia="zh-CN"/>
              </w:rPr>
            </w:pP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lang w:val="en-US" w:eastAsia="zh-CN"/>
              </w:rPr>
            </w:pPr>
            <w:r>
              <w:rPr>
                <w:rFonts w:hint="eastAsia" w:ascii="宋体" w:hAnsi="宋体"/>
                <w:color w:val="000000"/>
                <w:sz w:val="16"/>
                <w:lang w:val="en-US" w:eastAsia="zh-CN"/>
              </w:rPr>
              <w:t>年度资金总额</w:t>
            </w:r>
          </w:p>
        </w:tc>
        <w:tc>
          <w:tcPr>
            <w:tcW w:w="138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27.90</w:t>
            </w:r>
          </w:p>
        </w:tc>
        <w:tc>
          <w:tcPr>
            <w:tcW w:w="9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27.90</w:t>
            </w:r>
          </w:p>
        </w:tc>
        <w:tc>
          <w:tcPr>
            <w:tcW w:w="151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27.90</w:t>
            </w:r>
          </w:p>
        </w:tc>
        <w:tc>
          <w:tcPr>
            <w:tcW w:w="61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w:t>
            </w:r>
          </w:p>
        </w:tc>
        <w:tc>
          <w:tcPr>
            <w:tcW w:w="85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100.00%</w:t>
            </w:r>
          </w:p>
        </w:tc>
        <w:tc>
          <w:tcPr>
            <w:tcW w:w="11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575" w:type="dxa"/>
            <w:gridSpan w:val="2"/>
            <w:vMerge w:val="continue"/>
            <w:tcBorders>
              <w:top w:val="nil"/>
              <w:left w:val="single" w:color="000000" w:sz="4" w:space="0"/>
              <w:bottom w:val="nil"/>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lang w:val="en-US" w:eastAsia="zh-CN"/>
              </w:rPr>
            </w:pP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lang w:val="en-US" w:eastAsia="zh-CN"/>
              </w:rPr>
            </w:pPr>
            <w:r>
              <w:rPr>
                <w:rFonts w:hint="eastAsia" w:ascii="宋体" w:hAnsi="宋体"/>
                <w:color w:val="000000"/>
                <w:sz w:val="16"/>
                <w:lang w:val="en-US" w:eastAsia="zh-CN"/>
              </w:rPr>
              <w:t>其中：当年财政拨款</w:t>
            </w:r>
          </w:p>
        </w:tc>
        <w:tc>
          <w:tcPr>
            <w:tcW w:w="138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27.9</w:t>
            </w:r>
          </w:p>
        </w:tc>
        <w:tc>
          <w:tcPr>
            <w:tcW w:w="9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27.9</w:t>
            </w:r>
          </w:p>
        </w:tc>
        <w:tc>
          <w:tcPr>
            <w:tcW w:w="151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27.9</w:t>
            </w:r>
          </w:p>
        </w:tc>
        <w:tc>
          <w:tcPr>
            <w:tcW w:w="61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c>
          <w:tcPr>
            <w:tcW w:w="85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c>
          <w:tcPr>
            <w:tcW w:w="11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575" w:type="dxa"/>
            <w:gridSpan w:val="2"/>
            <w:vMerge w:val="continue"/>
            <w:tcBorders>
              <w:top w:val="nil"/>
              <w:left w:val="single" w:color="000000" w:sz="4" w:space="0"/>
              <w:bottom w:val="nil"/>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lang w:val="en-US" w:eastAsia="zh-CN"/>
              </w:rPr>
            </w:pP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lang w:val="en-US" w:eastAsia="zh-CN"/>
              </w:rPr>
            </w:pPr>
            <w:r>
              <w:rPr>
                <w:rFonts w:hint="eastAsia" w:ascii="宋体" w:hAnsi="宋体"/>
                <w:color w:val="000000"/>
                <w:sz w:val="16"/>
                <w:lang w:val="en-US" w:eastAsia="zh-CN"/>
              </w:rPr>
              <w:t xml:space="preserve">      上年结转资金</w:t>
            </w:r>
          </w:p>
        </w:tc>
        <w:tc>
          <w:tcPr>
            <w:tcW w:w="138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0</w:t>
            </w:r>
          </w:p>
        </w:tc>
        <w:tc>
          <w:tcPr>
            <w:tcW w:w="9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0</w:t>
            </w:r>
          </w:p>
        </w:tc>
        <w:tc>
          <w:tcPr>
            <w:tcW w:w="151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0</w:t>
            </w:r>
          </w:p>
        </w:tc>
        <w:tc>
          <w:tcPr>
            <w:tcW w:w="61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c>
          <w:tcPr>
            <w:tcW w:w="85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c>
          <w:tcPr>
            <w:tcW w:w="11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575" w:type="dxa"/>
            <w:gridSpan w:val="2"/>
            <w:vMerge w:val="continue"/>
            <w:tcBorders>
              <w:top w:val="nil"/>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lang w:val="en-US" w:eastAsia="zh-CN"/>
              </w:rPr>
            </w:pP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lang w:val="en-US" w:eastAsia="zh-CN"/>
              </w:rPr>
            </w:pPr>
            <w:r>
              <w:rPr>
                <w:rFonts w:hint="eastAsia" w:ascii="宋体" w:hAnsi="宋体"/>
                <w:color w:val="000000"/>
                <w:sz w:val="16"/>
                <w:lang w:val="en-US" w:eastAsia="zh-CN"/>
              </w:rPr>
              <w:t xml:space="preserve">  其他资金</w:t>
            </w:r>
          </w:p>
        </w:tc>
        <w:tc>
          <w:tcPr>
            <w:tcW w:w="138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0</w:t>
            </w:r>
          </w:p>
        </w:tc>
        <w:tc>
          <w:tcPr>
            <w:tcW w:w="9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0</w:t>
            </w:r>
          </w:p>
        </w:tc>
        <w:tc>
          <w:tcPr>
            <w:tcW w:w="151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0</w:t>
            </w:r>
          </w:p>
        </w:tc>
        <w:tc>
          <w:tcPr>
            <w:tcW w:w="61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c>
          <w:tcPr>
            <w:tcW w:w="85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c>
          <w:tcPr>
            <w:tcW w:w="11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 w:type="dxa"/>
          <w:trHeight w:val="396" w:hRule="atLeast"/>
        </w:trPr>
        <w:tc>
          <w:tcPr>
            <w:tcW w:w="78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年度总体目标</w:t>
            </w:r>
          </w:p>
        </w:tc>
        <w:tc>
          <w:tcPr>
            <w:tcW w:w="4620"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预期目标</w:t>
            </w:r>
          </w:p>
        </w:tc>
        <w:tc>
          <w:tcPr>
            <w:tcW w:w="4155" w:type="dxa"/>
            <w:gridSpan w:val="10"/>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 w:type="dxa"/>
          <w:trHeight w:val="396" w:hRule="atLeast"/>
        </w:trPr>
        <w:tc>
          <w:tcPr>
            <w:tcW w:w="78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4620"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保证网络机房局域网网络安全畅通，故障及时排除，机房设备能定期维护保养，客户端应用软件安装、调试、管理更新，数据跟踪，故障检测和排除，确保网络打印故障排除，服务器有效维护，网络系统安全有保障；保障各接入点的网络、公文收发、计算机系统正常运行；政府网站页面更新，版面优化，网站正常工作，更新及时。</w:t>
            </w:r>
          </w:p>
        </w:tc>
        <w:tc>
          <w:tcPr>
            <w:tcW w:w="4155" w:type="dxa"/>
            <w:gridSpan w:val="10"/>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目标1：做好机房局域网维护（包括：原新市区政府办公楼（中心机房1间、终端信息点457个左右、机房内设网络设备14台）；高新区（新市区）盈科双子楼（中心机房1间）；高新区（新市区）创新广场A、B座（中心机房1间，终端信息点7553个，机房内网内网络设备16台，弱电井接入层交换160台，服务器及纯机存储9台），及时排除故障，预防和排除网络攻击，维护保养机房设备；</w:t>
            </w:r>
            <w:r>
              <w:rPr>
                <w:rFonts w:hint="eastAsia" w:ascii="宋体" w:hAnsi="宋体"/>
                <w:color w:val="000000"/>
                <w:kern w:val="0"/>
                <w:sz w:val="16"/>
                <w:lang w:val="en-US" w:eastAsia="zh-CN"/>
              </w:rPr>
              <w:br w:type="textWrapping"/>
            </w:r>
            <w:r>
              <w:rPr>
                <w:rFonts w:hint="eastAsia" w:ascii="宋体" w:hAnsi="宋体"/>
                <w:color w:val="000000"/>
                <w:kern w:val="0"/>
                <w:sz w:val="16"/>
                <w:lang w:val="en-US" w:eastAsia="zh-CN"/>
              </w:rPr>
              <w:t>目标2：确保103户单位，24条线路的办公专网正常运行，网络畅通，做到高效服务；</w:t>
            </w:r>
            <w:r>
              <w:rPr>
                <w:rFonts w:hint="eastAsia" w:ascii="宋体" w:hAnsi="宋体"/>
                <w:color w:val="000000"/>
                <w:kern w:val="0"/>
                <w:sz w:val="16"/>
                <w:lang w:val="en-US" w:eastAsia="zh-CN"/>
              </w:rPr>
              <w:br w:type="textWrapping"/>
            </w:r>
            <w:r>
              <w:rPr>
                <w:rFonts w:hint="eastAsia" w:ascii="宋体" w:hAnsi="宋体"/>
                <w:color w:val="000000"/>
                <w:kern w:val="0"/>
                <w:sz w:val="16"/>
                <w:lang w:val="en-US" w:eastAsia="zh-CN"/>
              </w:rPr>
              <w:t>目标3：高新区（新市区）人民政府网站（www.uhdz.gov.cn)更新及时，维护到位，版面优化美观，达到上级考核标准。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 w:type="dxa"/>
          <w:trHeight w:val="396" w:hRule="atLeast"/>
        </w:trPr>
        <w:tc>
          <w:tcPr>
            <w:tcW w:w="78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9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一级指标</w:t>
            </w:r>
          </w:p>
        </w:tc>
        <w:tc>
          <w:tcPr>
            <w:tcW w:w="87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二级指标</w:t>
            </w:r>
          </w:p>
        </w:tc>
        <w:tc>
          <w:tcPr>
            <w:tcW w:w="198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三级指标</w:t>
            </w:r>
          </w:p>
        </w:tc>
        <w:tc>
          <w:tcPr>
            <w:tcW w:w="97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年度指标值</w:t>
            </w:r>
          </w:p>
        </w:tc>
        <w:tc>
          <w:tcPr>
            <w:tcW w:w="81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实际完成值</w:t>
            </w:r>
          </w:p>
        </w:tc>
        <w:tc>
          <w:tcPr>
            <w:tcW w:w="70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分值</w:t>
            </w:r>
          </w:p>
        </w:tc>
        <w:tc>
          <w:tcPr>
            <w:tcW w:w="825"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得分</w:t>
            </w:r>
          </w:p>
        </w:tc>
        <w:tc>
          <w:tcPr>
            <w:tcW w:w="1815"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 w:type="dxa"/>
          <w:trHeight w:val="396" w:hRule="atLeast"/>
        </w:trPr>
        <w:tc>
          <w:tcPr>
            <w:tcW w:w="78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9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98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9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1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0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25"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815"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 w:type="dxa"/>
          <w:trHeight w:val="396" w:hRule="atLeast"/>
        </w:trPr>
        <w:tc>
          <w:tcPr>
            <w:tcW w:w="78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年度绩效指标完成情况</w:t>
            </w:r>
          </w:p>
        </w:tc>
        <w:tc>
          <w:tcPr>
            <w:tcW w:w="79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产出指标</w:t>
            </w: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数量指标</w:t>
            </w:r>
          </w:p>
        </w:tc>
        <w:tc>
          <w:tcPr>
            <w:tcW w:w="198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专网维护用户</w:t>
            </w:r>
          </w:p>
        </w:tc>
        <w:tc>
          <w:tcPr>
            <w:tcW w:w="9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=103个</w:t>
            </w:r>
          </w:p>
        </w:tc>
        <w:tc>
          <w:tcPr>
            <w:tcW w:w="8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103个</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82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181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 w:type="dxa"/>
          <w:trHeight w:val="396" w:hRule="atLeast"/>
        </w:trPr>
        <w:tc>
          <w:tcPr>
            <w:tcW w:w="78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9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数量指标</w:t>
            </w:r>
          </w:p>
        </w:tc>
        <w:tc>
          <w:tcPr>
            <w:tcW w:w="198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网站维护数量</w:t>
            </w:r>
          </w:p>
        </w:tc>
        <w:tc>
          <w:tcPr>
            <w:tcW w:w="9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=1个</w:t>
            </w:r>
          </w:p>
        </w:tc>
        <w:tc>
          <w:tcPr>
            <w:tcW w:w="8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1个</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4.73</w:t>
            </w:r>
          </w:p>
        </w:tc>
        <w:tc>
          <w:tcPr>
            <w:tcW w:w="82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4.73</w:t>
            </w:r>
          </w:p>
        </w:tc>
        <w:tc>
          <w:tcPr>
            <w:tcW w:w="181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 w:type="dxa"/>
          <w:trHeight w:val="396" w:hRule="atLeast"/>
        </w:trPr>
        <w:tc>
          <w:tcPr>
            <w:tcW w:w="78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9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数量指标</w:t>
            </w:r>
          </w:p>
        </w:tc>
        <w:tc>
          <w:tcPr>
            <w:tcW w:w="198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硬件、软件采购或维护数量</w:t>
            </w:r>
          </w:p>
        </w:tc>
        <w:tc>
          <w:tcPr>
            <w:tcW w:w="9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=8010个</w:t>
            </w:r>
          </w:p>
        </w:tc>
        <w:tc>
          <w:tcPr>
            <w:tcW w:w="8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8010个</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4.53</w:t>
            </w:r>
          </w:p>
        </w:tc>
        <w:tc>
          <w:tcPr>
            <w:tcW w:w="82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4.53</w:t>
            </w:r>
          </w:p>
        </w:tc>
        <w:tc>
          <w:tcPr>
            <w:tcW w:w="181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 w:type="dxa"/>
          <w:trHeight w:val="396" w:hRule="atLeast"/>
        </w:trPr>
        <w:tc>
          <w:tcPr>
            <w:tcW w:w="78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9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数量指标</w:t>
            </w:r>
          </w:p>
        </w:tc>
        <w:tc>
          <w:tcPr>
            <w:tcW w:w="198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网站专题栏目制作</w:t>
            </w:r>
          </w:p>
        </w:tc>
        <w:tc>
          <w:tcPr>
            <w:tcW w:w="9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&lt;=12个</w:t>
            </w:r>
          </w:p>
        </w:tc>
        <w:tc>
          <w:tcPr>
            <w:tcW w:w="8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8个</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4.73</w:t>
            </w:r>
          </w:p>
        </w:tc>
        <w:tc>
          <w:tcPr>
            <w:tcW w:w="82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4.73</w:t>
            </w:r>
          </w:p>
        </w:tc>
        <w:tc>
          <w:tcPr>
            <w:tcW w:w="181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 w:type="dxa"/>
          <w:trHeight w:val="396" w:hRule="atLeast"/>
        </w:trPr>
        <w:tc>
          <w:tcPr>
            <w:tcW w:w="78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9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数量指标</w:t>
            </w:r>
          </w:p>
        </w:tc>
        <w:tc>
          <w:tcPr>
            <w:tcW w:w="198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信息系统开发或应用数量</w:t>
            </w:r>
          </w:p>
        </w:tc>
        <w:tc>
          <w:tcPr>
            <w:tcW w:w="9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&gt;=1个</w:t>
            </w:r>
          </w:p>
        </w:tc>
        <w:tc>
          <w:tcPr>
            <w:tcW w:w="8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1个</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4.73</w:t>
            </w:r>
          </w:p>
        </w:tc>
        <w:tc>
          <w:tcPr>
            <w:tcW w:w="82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4.73</w:t>
            </w:r>
          </w:p>
        </w:tc>
        <w:tc>
          <w:tcPr>
            <w:tcW w:w="181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 w:type="dxa"/>
          <w:trHeight w:val="396" w:hRule="atLeast"/>
        </w:trPr>
        <w:tc>
          <w:tcPr>
            <w:tcW w:w="78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9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质量指标</w:t>
            </w:r>
          </w:p>
        </w:tc>
        <w:tc>
          <w:tcPr>
            <w:tcW w:w="198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网络维护畅通率</w:t>
            </w:r>
          </w:p>
        </w:tc>
        <w:tc>
          <w:tcPr>
            <w:tcW w:w="9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w:t>
            </w:r>
          </w:p>
        </w:tc>
        <w:tc>
          <w:tcPr>
            <w:tcW w:w="8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4.73</w:t>
            </w:r>
          </w:p>
        </w:tc>
        <w:tc>
          <w:tcPr>
            <w:tcW w:w="82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4.73</w:t>
            </w:r>
          </w:p>
        </w:tc>
        <w:tc>
          <w:tcPr>
            <w:tcW w:w="181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 w:type="dxa"/>
          <w:trHeight w:val="396" w:hRule="atLeast"/>
        </w:trPr>
        <w:tc>
          <w:tcPr>
            <w:tcW w:w="78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9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质量指标</w:t>
            </w:r>
          </w:p>
        </w:tc>
        <w:tc>
          <w:tcPr>
            <w:tcW w:w="198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验收合格率</w:t>
            </w:r>
          </w:p>
        </w:tc>
        <w:tc>
          <w:tcPr>
            <w:tcW w:w="9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&gt;=95%</w:t>
            </w:r>
          </w:p>
        </w:tc>
        <w:tc>
          <w:tcPr>
            <w:tcW w:w="8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95%</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4.73</w:t>
            </w:r>
          </w:p>
        </w:tc>
        <w:tc>
          <w:tcPr>
            <w:tcW w:w="82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4.73</w:t>
            </w:r>
          </w:p>
        </w:tc>
        <w:tc>
          <w:tcPr>
            <w:tcW w:w="181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 w:type="dxa"/>
          <w:trHeight w:val="396" w:hRule="atLeast"/>
        </w:trPr>
        <w:tc>
          <w:tcPr>
            <w:tcW w:w="78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9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质量指标</w:t>
            </w:r>
          </w:p>
        </w:tc>
        <w:tc>
          <w:tcPr>
            <w:tcW w:w="198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系统故障率</w:t>
            </w:r>
          </w:p>
        </w:tc>
        <w:tc>
          <w:tcPr>
            <w:tcW w:w="9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&lt;=5%</w:t>
            </w:r>
          </w:p>
        </w:tc>
        <w:tc>
          <w:tcPr>
            <w:tcW w:w="8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4.73</w:t>
            </w:r>
          </w:p>
        </w:tc>
        <w:tc>
          <w:tcPr>
            <w:tcW w:w="82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4.73</w:t>
            </w:r>
          </w:p>
        </w:tc>
        <w:tc>
          <w:tcPr>
            <w:tcW w:w="181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 w:type="dxa"/>
          <w:trHeight w:val="396" w:hRule="atLeast"/>
        </w:trPr>
        <w:tc>
          <w:tcPr>
            <w:tcW w:w="78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9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质量指标</w:t>
            </w:r>
          </w:p>
        </w:tc>
        <w:tc>
          <w:tcPr>
            <w:tcW w:w="198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信息系统运行正常率</w:t>
            </w:r>
          </w:p>
        </w:tc>
        <w:tc>
          <w:tcPr>
            <w:tcW w:w="9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w:t>
            </w:r>
          </w:p>
        </w:tc>
        <w:tc>
          <w:tcPr>
            <w:tcW w:w="8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4.73</w:t>
            </w:r>
          </w:p>
        </w:tc>
        <w:tc>
          <w:tcPr>
            <w:tcW w:w="82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4.73</w:t>
            </w:r>
          </w:p>
        </w:tc>
        <w:tc>
          <w:tcPr>
            <w:tcW w:w="181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 w:type="dxa"/>
          <w:trHeight w:val="396" w:hRule="atLeast"/>
        </w:trPr>
        <w:tc>
          <w:tcPr>
            <w:tcW w:w="78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9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时效指标</w:t>
            </w:r>
          </w:p>
        </w:tc>
        <w:tc>
          <w:tcPr>
            <w:tcW w:w="198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按时维护率</w:t>
            </w:r>
          </w:p>
        </w:tc>
        <w:tc>
          <w:tcPr>
            <w:tcW w:w="9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w:t>
            </w:r>
          </w:p>
        </w:tc>
        <w:tc>
          <w:tcPr>
            <w:tcW w:w="8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4.73</w:t>
            </w:r>
          </w:p>
        </w:tc>
        <w:tc>
          <w:tcPr>
            <w:tcW w:w="82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4.73</w:t>
            </w:r>
          </w:p>
        </w:tc>
        <w:tc>
          <w:tcPr>
            <w:tcW w:w="181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 w:type="dxa"/>
          <w:trHeight w:val="396" w:hRule="atLeast"/>
        </w:trPr>
        <w:tc>
          <w:tcPr>
            <w:tcW w:w="78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9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时效指标</w:t>
            </w:r>
          </w:p>
        </w:tc>
        <w:tc>
          <w:tcPr>
            <w:tcW w:w="198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系统运行维护响应时间</w:t>
            </w:r>
          </w:p>
        </w:tc>
        <w:tc>
          <w:tcPr>
            <w:tcW w:w="9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&lt;=12小时</w:t>
            </w:r>
          </w:p>
        </w:tc>
        <w:tc>
          <w:tcPr>
            <w:tcW w:w="8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12小时</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4.73</w:t>
            </w:r>
          </w:p>
        </w:tc>
        <w:tc>
          <w:tcPr>
            <w:tcW w:w="82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4.73</w:t>
            </w:r>
          </w:p>
        </w:tc>
        <w:tc>
          <w:tcPr>
            <w:tcW w:w="181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 w:type="dxa"/>
          <w:trHeight w:val="396" w:hRule="atLeast"/>
        </w:trPr>
        <w:tc>
          <w:tcPr>
            <w:tcW w:w="78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9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时效指标</w:t>
            </w:r>
          </w:p>
        </w:tc>
        <w:tc>
          <w:tcPr>
            <w:tcW w:w="198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系统故障修复处理时间</w:t>
            </w:r>
          </w:p>
        </w:tc>
        <w:tc>
          <w:tcPr>
            <w:tcW w:w="9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&lt;=1天</w:t>
            </w:r>
          </w:p>
        </w:tc>
        <w:tc>
          <w:tcPr>
            <w:tcW w:w="8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1天</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4.73</w:t>
            </w:r>
          </w:p>
        </w:tc>
        <w:tc>
          <w:tcPr>
            <w:tcW w:w="82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4.73</w:t>
            </w:r>
          </w:p>
        </w:tc>
        <w:tc>
          <w:tcPr>
            <w:tcW w:w="181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 w:type="dxa"/>
          <w:trHeight w:val="396" w:hRule="atLeast"/>
        </w:trPr>
        <w:tc>
          <w:tcPr>
            <w:tcW w:w="78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9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成本指标</w:t>
            </w:r>
          </w:p>
        </w:tc>
        <w:tc>
          <w:tcPr>
            <w:tcW w:w="198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年度维护成本增长率</w:t>
            </w:r>
          </w:p>
        </w:tc>
        <w:tc>
          <w:tcPr>
            <w:tcW w:w="9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&lt;=2%</w:t>
            </w:r>
          </w:p>
        </w:tc>
        <w:tc>
          <w:tcPr>
            <w:tcW w:w="8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4.73</w:t>
            </w:r>
          </w:p>
        </w:tc>
        <w:tc>
          <w:tcPr>
            <w:tcW w:w="82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4.73</w:t>
            </w:r>
          </w:p>
        </w:tc>
        <w:tc>
          <w:tcPr>
            <w:tcW w:w="181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 w:type="dxa"/>
          <w:trHeight w:val="396" w:hRule="atLeast"/>
        </w:trPr>
        <w:tc>
          <w:tcPr>
            <w:tcW w:w="78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9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成本指标</w:t>
            </w:r>
          </w:p>
        </w:tc>
        <w:tc>
          <w:tcPr>
            <w:tcW w:w="198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预算控制率</w:t>
            </w:r>
          </w:p>
        </w:tc>
        <w:tc>
          <w:tcPr>
            <w:tcW w:w="9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&lt;=95%</w:t>
            </w:r>
          </w:p>
        </w:tc>
        <w:tc>
          <w:tcPr>
            <w:tcW w:w="8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95%</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4.73</w:t>
            </w:r>
          </w:p>
        </w:tc>
        <w:tc>
          <w:tcPr>
            <w:tcW w:w="82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4.73</w:t>
            </w:r>
          </w:p>
        </w:tc>
        <w:tc>
          <w:tcPr>
            <w:tcW w:w="181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 w:type="dxa"/>
          <w:trHeight w:val="396" w:hRule="atLeast"/>
        </w:trPr>
        <w:tc>
          <w:tcPr>
            <w:tcW w:w="78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9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成本指标</w:t>
            </w:r>
          </w:p>
        </w:tc>
        <w:tc>
          <w:tcPr>
            <w:tcW w:w="198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2020年度机房外包服务费成本</w:t>
            </w:r>
          </w:p>
        </w:tc>
        <w:tc>
          <w:tcPr>
            <w:tcW w:w="9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&lt;=27.90万元</w:t>
            </w:r>
          </w:p>
        </w:tc>
        <w:tc>
          <w:tcPr>
            <w:tcW w:w="8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27.90万元</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4.73</w:t>
            </w:r>
          </w:p>
        </w:tc>
        <w:tc>
          <w:tcPr>
            <w:tcW w:w="82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4.73</w:t>
            </w:r>
          </w:p>
        </w:tc>
        <w:tc>
          <w:tcPr>
            <w:tcW w:w="181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 w:type="dxa"/>
          <w:trHeight w:val="396" w:hRule="atLeast"/>
        </w:trPr>
        <w:tc>
          <w:tcPr>
            <w:tcW w:w="78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9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效益指标</w:t>
            </w: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经济效益指标</w:t>
            </w:r>
          </w:p>
        </w:tc>
        <w:tc>
          <w:tcPr>
            <w:tcW w:w="198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rPr>
                <w:rFonts w:hint="eastAsia" w:ascii="宋体" w:hAnsi="宋体"/>
                <w:color w:val="000000"/>
                <w:sz w:val="16"/>
              </w:rPr>
            </w:pPr>
          </w:p>
        </w:tc>
        <w:tc>
          <w:tcPr>
            <w:tcW w:w="9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2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81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 w:type="dxa"/>
          <w:trHeight w:val="495" w:hRule="atLeast"/>
        </w:trPr>
        <w:tc>
          <w:tcPr>
            <w:tcW w:w="78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9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社会效益指标</w:t>
            </w:r>
          </w:p>
        </w:tc>
        <w:tc>
          <w:tcPr>
            <w:tcW w:w="198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保障创新广场所有部门的网络畅通、网站更新及时。</w:t>
            </w:r>
          </w:p>
        </w:tc>
        <w:tc>
          <w:tcPr>
            <w:tcW w:w="9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有效</w:t>
            </w:r>
          </w:p>
        </w:tc>
        <w:tc>
          <w:tcPr>
            <w:tcW w:w="8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有效完成</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4.73</w:t>
            </w:r>
          </w:p>
        </w:tc>
        <w:tc>
          <w:tcPr>
            <w:tcW w:w="82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4.73</w:t>
            </w:r>
          </w:p>
        </w:tc>
        <w:tc>
          <w:tcPr>
            <w:tcW w:w="181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 w:type="dxa"/>
          <w:trHeight w:val="445" w:hRule="atLeast"/>
        </w:trPr>
        <w:tc>
          <w:tcPr>
            <w:tcW w:w="78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9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生态效益指标</w:t>
            </w:r>
          </w:p>
        </w:tc>
        <w:tc>
          <w:tcPr>
            <w:tcW w:w="198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rPr>
                <w:rFonts w:hint="eastAsia" w:ascii="宋体" w:hAnsi="宋体"/>
                <w:color w:val="000000"/>
                <w:sz w:val="16"/>
              </w:rPr>
            </w:pPr>
          </w:p>
        </w:tc>
        <w:tc>
          <w:tcPr>
            <w:tcW w:w="9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2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81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 w:type="dxa"/>
          <w:trHeight w:val="396" w:hRule="atLeast"/>
        </w:trPr>
        <w:tc>
          <w:tcPr>
            <w:tcW w:w="78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9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可持续影响指标</w:t>
            </w:r>
          </w:p>
        </w:tc>
        <w:tc>
          <w:tcPr>
            <w:tcW w:w="198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系统正常使用年限</w:t>
            </w:r>
          </w:p>
        </w:tc>
        <w:tc>
          <w:tcPr>
            <w:tcW w:w="9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&gt;=1年</w:t>
            </w:r>
          </w:p>
        </w:tc>
        <w:tc>
          <w:tcPr>
            <w:tcW w:w="8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1年</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4.73</w:t>
            </w:r>
          </w:p>
        </w:tc>
        <w:tc>
          <w:tcPr>
            <w:tcW w:w="82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4.73</w:t>
            </w:r>
          </w:p>
        </w:tc>
        <w:tc>
          <w:tcPr>
            <w:tcW w:w="181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 w:type="dxa"/>
          <w:trHeight w:val="396" w:hRule="atLeast"/>
        </w:trPr>
        <w:tc>
          <w:tcPr>
            <w:tcW w:w="78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9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满意度指标</w:t>
            </w: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满意度指标</w:t>
            </w:r>
          </w:p>
        </w:tc>
        <w:tc>
          <w:tcPr>
            <w:tcW w:w="198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使用人员满意度</w:t>
            </w:r>
          </w:p>
        </w:tc>
        <w:tc>
          <w:tcPr>
            <w:tcW w:w="9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&gt;=95%</w:t>
            </w:r>
          </w:p>
        </w:tc>
        <w:tc>
          <w:tcPr>
            <w:tcW w:w="8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95%</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4.73</w:t>
            </w:r>
          </w:p>
        </w:tc>
        <w:tc>
          <w:tcPr>
            <w:tcW w:w="82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4.73</w:t>
            </w:r>
          </w:p>
        </w:tc>
        <w:tc>
          <w:tcPr>
            <w:tcW w:w="181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 w:type="dxa"/>
          <w:trHeight w:val="396" w:hRule="atLeast"/>
        </w:trPr>
        <w:tc>
          <w:tcPr>
            <w:tcW w:w="78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9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满意度指标</w:t>
            </w:r>
          </w:p>
        </w:tc>
        <w:tc>
          <w:tcPr>
            <w:tcW w:w="198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用户服务满意度</w:t>
            </w:r>
          </w:p>
        </w:tc>
        <w:tc>
          <w:tcPr>
            <w:tcW w:w="9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&gt;=95%</w:t>
            </w:r>
          </w:p>
        </w:tc>
        <w:tc>
          <w:tcPr>
            <w:tcW w:w="8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95%</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4.79</w:t>
            </w:r>
          </w:p>
        </w:tc>
        <w:tc>
          <w:tcPr>
            <w:tcW w:w="82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4.79</w:t>
            </w:r>
          </w:p>
        </w:tc>
        <w:tc>
          <w:tcPr>
            <w:tcW w:w="181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 w:type="dxa"/>
          <w:trHeight w:val="396" w:hRule="atLeast"/>
        </w:trPr>
        <w:tc>
          <w:tcPr>
            <w:tcW w:w="6210" w:type="dxa"/>
            <w:gridSpan w:val="9"/>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总分</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w:t>
            </w:r>
          </w:p>
        </w:tc>
        <w:tc>
          <w:tcPr>
            <w:tcW w:w="82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100.00分</w:t>
            </w:r>
          </w:p>
        </w:tc>
        <w:tc>
          <w:tcPr>
            <w:tcW w:w="181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r>
    </w:tbl>
    <w:p>
      <w:pPr>
        <w:shd w:val="clear" w:color="auto" w:fill="FFFFFF"/>
        <w:spacing w:before="100" w:line="520" w:lineRule="exact"/>
        <w:rPr>
          <w:rFonts w:hint="default" w:eastAsia="Times New Roman"/>
          <w:color w:val="auto"/>
          <w:kern w:val="0"/>
          <w:sz w:val="24"/>
          <w:highlight w:val="white"/>
          <w:lang w:val="en-US"/>
        </w:rPr>
      </w:pPr>
    </w:p>
    <w:tbl>
      <w:tblPr>
        <w:tblStyle w:val="2"/>
        <w:tblW w:w="9525" w:type="dxa"/>
        <w:tblInd w:w="-3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60"/>
        <w:gridCol w:w="824"/>
        <w:gridCol w:w="976"/>
        <w:gridCol w:w="675"/>
        <w:gridCol w:w="1110"/>
        <w:gridCol w:w="1035"/>
        <w:gridCol w:w="1095"/>
        <w:gridCol w:w="705"/>
        <w:gridCol w:w="810"/>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9525" w:type="dxa"/>
            <w:gridSpan w:val="10"/>
            <w:tcBorders>
              <w:top w:val="nil"/>
              <w:left w:val="nil"/>
              <w:bottom w:val="nil"/>
              <w:right w:val="nil"/>
              <w:tl2br w:val="nil"/>
              <w:tr2bl w:val="nil"/>
            </w:tcBorders>
            <w:noWrap w:val="0"/>
            <w:tcMar>
              <w:top w:w="15" w:type="dxa"/>
              <w:left w:w="15" w:type="dxa"/>
              <w:right w:w="15" w:type="dxa"/>
            </w:tcMar>
            <w:vAlign w:val="center"/>
          </w:tcPr>
          <w:p>
            <w:pPr>
              <w:jc w:val="center"/>
              <w:textAlignment w:val="center"/>
              <w:rPr>
                <w:rFonts w:hint="eastAsia" w:ascii="宋体" w:hAnsi="宋体"/>
                <w:b/>
                <w:color w:val="000000"/>
                <w:sz w:val="32"/>
              </w:rPr>
            </w:pPr>
            <w:r>
              <w:rPr>
                <w:rFonts w:hint="eastAsia" w:ascii="宋体" w:hAnsi="宋体"/>
                <w:b/>
                <w:color w:val="000000"/>
                <w:kern w:val="0"/>
                <w:sz w:val="32"/>
                <w:lang w:val="en-US" w:eastAsia="zh-CN"/>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525" w:type="dxa"/>
            <w:gridSpan w:val="10"/>
            <w:tcBorders>
              <w:top w:val="nil"/>
              <w:left w:val="nil"/>
              <w:bottom w:val="nil"/>
              <w:right w:val="nil"/>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8"/>
                <w:lang w:val="en-US" w:eastAsia="zh-CN"/>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78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kern w:val="0"/>
                <w:sz w:val="16"/>
                <w:lang w:val="en-US" w:eastAsia="zh-CN"/>
              </w:rPr>
            </w:pPr>
            <w:r>
              <w:rPr>
                <w:rFonts w:hint="eastAsia" w:ascii="宋体" w:hAnsi="宋体"/>
                <w:color w:val="000000"/>
                <w:kern w:val="0"/>
                <w:sz w:val="16"/>
                <w:lang w:val="en-US" w:eastAsia="zh-CN"/>
              </w:rPr>
              <w:t>项目名称</w:t>
            </w:r>
          </w:p>
        </w:tc>
        <w:tc>
          <w:tcPr>
            <w:tcW w:w="7741" w:type="dxa"/>
            <w:gridSpan w:val="8"/>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kern w:val="0"/>
                <w:sz w:val="16"/>
                <w:lang w:val="en-US" w:eastAsia="zh-CN"/>
              </w:rPr>
            </w:pPr>
            <w:r>
              <w:rPr>
                <w:rFonts w:hint="eastAsia" w:ascii="宋体" w:hAnsi="宋体"/>
                <w:color w:val="000000"/>
                <w:kern w:val="0"/>
                <w:sz w:val="16"/>
                <w:lang w:val="en-US" w:eastAsia="zh-CN"/>
              </w:rPr>
              <w:t>办公楼电信光纤费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78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kern w:val="0"/>
                <w:sz w:val="16"/>
                <w:lang w:val="en-US" w:eastAsia="zh-CN"/>
              </w:rPr>
            </w:pPr>
            <w:r>
              <w:rPr>
                <w:rFonts w:hint="eastAsia" w:ascii="宋体" w:hAnsi="宋体"/>
                <w:color w:val="000000"/>
                <w:kern w:val="0"/>
                <w:sz w:val="16"/>
                <w:lang w:val="en-US" w:eastAsia="zh-CN"/>
              </w:rPr>
              <w:t>主管部门</w:t>
            </w:r>
          </w:p>
        </w:tc>
        <w:tc>
          <w:tcPr>
            <w:tcW w:w="3796"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kern w:val="0"/>
                <w:sz w:val="16"/>
                <w:lang w:val="en-US" w:eastAsia="zh-CN"/>
              </w:rPr>
            </w:pPr>
            <w:r>
              <w:rPr>
                <w:rFonts w:hint="eastAsia" w:ascii="宋体" w:hAnsi="宋体"/>
                <w:color w:val="000000"/>
                <w:kern w:val="0"/>
                <w:sz w:val="16"/>
                <w:lang w:val="en-US" w:eastAsia="zh-CN"/>
              </w:rPr>
              <w:t>政府办公室</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实施单位</w:t>
            </w:r>
          </w:p>
        </w:tc>
        <w:tc>
          <w:tcPr>
            <w:tcW w:w="285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784" w:type="dxa"/>
            <w:gridSpan w:val="2"/>
            <w:vMerge w:val="restart"/>
            <w:tcBorders>
              <w:top w:val="single" w:color="000000" w:sz="4" w:space="0"/>
              <w:left w:val="single" w:color="000000" w:sz="4" w:space="0"/>
              <w:bottom w:val="nil"/>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r>
              <w:rPr>
                <w:rFonts w:hint="eastAsia" w:ascii="宋体" w:hAnsi="宋体"/>
                <w:color w:val="000000"/>
                <w:kern w:val="0"/>
                <w:sz w:val="16"/>
                <w:lang w:val="en-US" w:eastAsia="zh-CN"/>
              </w:rPr>
              <w:t>项目资金</w:t>
            </w:r>
            <w:r>
              <w:rPr>
                <w:rFonts w:hint="eastAsia" w:ascii="宋体" w:hAnsi="宋体"/>
                <w:color w:val="000000"/>
                <w:kern w:val="0"/>
                <w:sz w:val="16"/>
                <w:lang w:val="en-US" w:eastAsia="zh-CN"/>
              </w:rPr>
              <w:br w:type="textWrapping"/>
            </w:r>
            <w:r>
              <w:rPr>
                <w:rFonts w:hint="eastAsia" w:ascii="宋体" w:hAnsi="宋体"/>
                <w:color w:val="000000"/>
                <w:kern w:val="0"/>
                <w:sz w:val="16"/>
                <w:lang w:val="en-US" w:eastAsia="zh-CN"/>
              </w:rPr>
              <w:t>（万元）</w:t>
            </w:r>
          </w:p>
        </w:tc>
        <w:tc>
          <w:tcPr>
            <w:tcW w:w="165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年初预算数</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全年预算数</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全年执行数</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分值</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执行率</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784" w:type="dxa"/>
            <w:gridSpan w:val="2"/>
            <w:vMerge w:val="continue"/>
            <w:tcBorders>
              <w:top w:val="nil"/>
              <w:left w:val="single" w:color="000000" w:sz="4" w:space="0"/>
              <w:bottom w:val="nil"/>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kern w:val="0"/>
                <w:sz w:val="16"/>
                <w:lang w:val="en-US" w:eastAsia="zh-CN"/>
              </w:rPr>
            </w:pPr>
          </w:p>
        </w:tc>
        <w:tc>
          <w:tcPr>
            <w:tcW w:w="165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kern w:val="0"/>
                <w:sz w:val="16"/>
                <w:lang w:val="en-US" w:eastAsia="zh-CN"/>
              </w:rPr>
            </w:pPr>
            <w:r>
              <w:rPr>
                <w:rFonts w:hint="eastAsia" w:ascii="宋体" w:hAnsi="宋体"/>
                <w:color w:val="000000"/>
                <w:kern w:val="0"/>
                <w:sz w:val="16"/>
                <w:lang w:val="en-US" w:eastAsia="zh-CN"/>
              </w:rPr>
              <w:t>年度资金总额</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21.60</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11.70</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11.70</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100.00%</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784" w:type="dxa"/>
            <w:gridSpan w:val="2"/>
            <w:vMerge w:val="continue"/>
            <w:tcBorders>
              <w:top w:val="nil"/>
              <w:left w:val="single" w:color="000000" w:sz="4" w:space="0"/>
              <w:bottom w:val="nil"/>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kern w:val="0"/>
                <w:sz w:val="16"/>
                <w:lang w:val="en-US" w:eastAsia="zh-CN"/>
              </w:rPr>
            </w:pPr>
          </w:p>
        </w:tc>
        <w:tc>
          <w:tcPr>
            <w:tcW w:w="165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kern w:val="0"/>
                <w:sz w:val="16"/>
                <w:lang w:val="en-US" w:eastAsia="zh-CN"/>
              </w:rPr>
            </w:pPr>
            <w:r>
              <w:rPr>
                <w:rFonts w:hint="eastAsia" w:ascii="宋体" w:hAnsi="宋体"/>
                <w:color w:val="000000"/>
                <w:kern w:val="0"/>
                <w:sz w:val="16"/>
                <w:lang w:val="en-US" w:eastAsia="zh-CN"/>
              </w:rPr>
              <w:t>其中：当年财政拨款</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21.6</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11.7</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11.7</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784" w:type="dxa"/>
            <w:gridSpan w:val="2"/>
            <w:vMerge w:val="continue"/>
            <w:tcBorders>
              <w:top w:val="nil"/>
              <w:left w:val="single" w:color="000000" w:sz="4" w:space="0"/>
              <w:bottom w:val="nil"/>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kern w:val="0"/>
                <w:sz w:val="16"/>
                <w:lang w:val="en-US" w:eastAsia="zh-CN"/>
              </w:rPr>
            </w:pPr>
          </w:p>
        </w:tc>
        <w:tc>
          <w:tcPr>
            <w:tcW w:w="165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kern w:val="0"/>
                <w:sz w:val="16"/>
                <w:lang w:val="en-US" w:eastAsia="zh-CN"/>
              </w:rPr>
            </w:pPr>
            <w:r>
              <w:rPr>
                <w:rFonts w:hint="eastAsia" w:ascii="宋体" w:hAnsi="宋体"/>
                <w:color w:val="000000"/>
                <w:kern w:val="0"/>
                <w:sz w:val="16"/>
                <w:lang w:val="en-US" w:eastAsia="zh-CN"/>
              </w:rPr>
              <w:t xml:space="preserve">      上年结转资金</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0</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0</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0</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784" w:type="dxa"/>
            <w:gridSpan w:val="2"/>
            <w:vMerge w:val="continue"/>
            <w:tcBorders>
              <w:top w:val="nil"/>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kern w:val="0"/>
                <w:sz w:val="16"/>
                <w:lang w:val="en-US" w:eastAsia="zh-CN"/>
              </w:rPr>
            </w:pPr>
          </w:p>
        </w:tc>
        <w:tc>
          <w:tcPr>
            <w:tcW w:w="165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kern w:val="0"/>
                <w:sz w:val="16"/>
                <w:lang w:val="en-US" w:eastAsia="zh-CN"/>
              </w:rPr>
            </w:pPr>
            <w:r>
              <w:rPr>
                <w:rFonts w:hint="eastAsia" w:ascii="宋体" w:hAnsi="宋体"/>
                <w:color w:val="000000"/>
                <w:kern w:val="0"/>
                <w:sz w:val="16"/>
                <w:lang w:val="en-US" w:eastAsia="zh-CN"/>
              </w:rPr>
              <w:t xml:space="preserve">  其他资金</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0</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0</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0</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6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年度总体目标</w:t>
            </w:r>
          </w:p>
        </w:tc>
        <w:tc>
          <w:tcPr>
            <w:tcW w:w="4620"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预期目标</w:t>
            </w:r>
          </w:p>
        </w:tc>
        <w:tc>
          <w:tcPr>
            <w:tcW w:w="394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96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4620"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确保效能，提供更好服务</w:t>
            </w:r>
          </w:p>
        </w:tc>
        <w:tc>
          <w:tcPr>
            <w:tcW w:w="394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1.确保了创新广场所有使用互联网光纤服务的单位，网络畅通；2.按照合同要求及时排除故障隐患，确保工作进度；3.做好了日常维护、检测工作，切实保障使用单位与外界的网络畅通，为各项工作的完成提供硬件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6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24"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一级指标</w:t>
            </w:r>
          </w:p>
        </w:tc>
        <w:tc>
          <w:tcPr>
            <w:tcW w:w="976"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二级指标</w:t>
            </w:r>
          </w:p>
        </w:tc>
        <w:tc>
          <w:tcPr>
            <w:tcW w:w="178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三级指标</w:t>
            </w:r>
          </w:p>
        </w:tc>
        <w:tc>
          <w:tcPr>
            <w:tcW w:w="103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年度指标值</w:t>
            </w:r>
          </w:p>
        </w:tc>
        <w:tc>
          <w:tcPr>
            <w:tcW w:w="109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实际完成值</w:t>
            </w:r>
          </w:p>
        </w:tc>
        <w:tc>
          <w:tcPr>
            <w:tcW w:w="70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分值</w:t>
            </w:r>
          </w:p>
        </w:tc>
        <w:tc>
          <w:tcPr>
            <w:tcW w:w="81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得分</w:t>
            </w:r>
          </w:p>
        </w:tc>
        <w:tc>
          <w:tcPr>
            <w:tcW w:w="133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6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2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976"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78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03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09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0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33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6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年度绩效指标完成情况</w:t>
            </w:r>
          </w:p>
        </w:tc>
        <w:tc>
          <w:tcPr>
            <w:tcW w:w="824"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产出指标</w:t>
            </w:r>
          </w:p>
        </w:tc>
        <w:tc>
          <w:tcPr>
            <w:tcW w:w="97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数量指标</w:t>
            </w:r>
          </w:p>
        </w:tc>
        <w:tc>
          <w:tcPr>
            <w:tcW w:w="178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公网IP地址数量</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=15个</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15个</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6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2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97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数量指标</w:t>
            </w:r>
          </w:p>
        </w:tc>
        <w:tc>
          <w:tcPr>
            <w:tcW w:w="178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覆盖楼数</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=1栋</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1栋</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6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2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97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质量指标</w:t>
            </w:r>
          </w:p>
        </w:tc>
        <w:tc>
          <w:tcPr>
            <w:tcW w:w="178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通讯网络畅通率</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6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2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97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质量指标</w:t>
            </w:r>
          </w:p>
        </w:tc>
        <w:tc>
          <w:tcPr>
            <w:tcW w:w="178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连接、调通、测试等环节的故障解决率</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6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2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97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时效指标</w:t>
            </w:r>
          </w:p>
        </w:tc>
        <w:tc>
          <w:tcPr>
            <w:tcW w:w="178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按时支付资金</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6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2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97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成本指标</w:t>
            </w:r>
          </w:p>
        </w:tc>
        <w:tc>
          <w:tcPr>
            <w:tcW w:w="178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预算控制率</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&lt;=95%</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95%</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6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2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97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成本指标</w:t>
            </w:r>
          </w:p>
        </w:tc>
        <w:tc>
          <w:tcPr>
            <w:tcW w:w="178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全年光纤通信费</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&lt;=21.6万元</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11.7万元</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6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2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97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成本指标</w:t>
            </w:r>
          </w:p>
        </w:tc>
        <w:tc>
          <w:tcPr>
            <w:tcW w:w="178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年度维护成本增长率</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&lt;=5%</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6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24"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效益指标</w:t>
            </w:r>
          </w:p>
        </w:tc>
        <w:tc>
          <w:tcPr>
            <w:tcW w:w="97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经济效益指标</w:t>
            </w:r>
          </w:p>
        </w:tc>
        <w:tc>
          <w:tcPr>
            <w:tcW w:w="178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rPr>
                <w:rFonts w:hint="eastAsia" w:ascii="宋体" w:hAnsi="宋体"/>
                <w:color w:val="000000"/>
                <w:sz w:val="16"/>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6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2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97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社会效益指标</w:t>
            </w:r>
          </w:p>
        </w:tc>
        <w:tc>
          <w:tcPr>
            <w:tcW w:w="178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保障光纤通讯线路通畅</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有效</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有效</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15</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15</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6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2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97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生态效益指标</w:t>
            </w:r>
          </w:p>
        </w:tc>
        <w:tc>
          <w:tcPr>
            <w:tcW w:w="178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rPr>
                <w:rFonts w:hint="eastAsia" w:ascii="宋体" w:hAnsi="宋体"/>
                <w:color w:val="000000"/>
                <w:sz w:val="16"/>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6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2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97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可持续影响指标</w:t>
            </w:r>
          </w:p>
        </w:tc>
        <w:tc>
          <w:tcPr>
            <w:tcW w:w="178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系统正常使用年限</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&gt;=1年</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1年</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15</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15</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6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82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满意度指标</w:t>
            </w:r>
          </w:p>
        </w:tc>
        <w:tc>
          <w:tcPr>
            <w:tcW w:w="97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ind w:left="-1037" w:leftChars="-494" w:firstLine="1040" w:firstLineChars="650"/>
              <w:jc w:val="center"/>
              <w:textAlignment w:val="center"/>
              <w:rPr>
                <w:rFonts w:hint="eastAsia" w:ascii="宋体" w:hAnsi="宋体"/>
                <w:color w:val="000000"/>
                <w:sz w:val="16"/>
              </w:rPr>
            </w:pPr>
            <w:r>
              <w:rPr>
                <w:rFonts w:hint="eastAsia" w:ascii="宋体" w:hAnsi="宋体"/>
                <w:color w:val="000000"/>
                <w:kern w:val="0"/>
                <w:sz w:val="16"/>
                <w:lang w:val="en-US" w:eastAsia="zh-CN"/>
              </w:rPr>
              <w:t>满意度指标</w:t>
            </w:r>
          </w:p>
        </w:tc>
        <w:tc>
          <w:tcPr>
            <w:tcW w:w="178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服务对象满意度</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&gt;=95%</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95%</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6675"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总分</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100.00分</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r>
    </w:tbl>
    <w:tbl>
      <w:tblPr>
        <w:tblStyle w:val="2"/>
        <w:tblpPr w:leftFromText="180" w:rightFromText="180" w:vertAnchor="text" w:horzAnchor="page" w:tblpX="1389" w:tblpY="517"/>
        <w:tblOverlap w:val="never"/>
        <w:tblW w:w="95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30"/>
        <w:gridCol w:w="600"/>
        <w:gridCol w:w="1170"/>
        <w:gridCol w:w="1245"/>
        <w:gridCol w:w="930"/>
        <w:gridCol w:w="1170"/>
        <w:gridCol w:w="900"/>
        <w:gridCol w:w="600"/>
        <w:gridCol w:w="180"/>
        <w:gridCol w:w="510"/>
        <w:gridCol w:w="330"/>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585" w:type="dxa"/>
            <w:gridSpan w:val="12"/>
            <w:tcBorders>
              <w:top w:val="nil"/>
              <w:left w:val="nil"/>
              <w:bottom w:val="nil"/>
              <w:right w:val="nil"/>
              <w:tl2br w:val="nil"/>
              <w:tr2bl w:val="nil"/>
            </w:tcBorders>
            <w:noWrap w:val="0"/>
            <w:tcMar>
              <w:top w:w="15" w:type="dxa"/>
              <w:left w:w="15" w:type="dxa"/>
              <w:right w:w="15" w:type="dxa"/>
            </w:tcMar>
            <w:vAlign w:val="center"/>
          </w:tcPr>
          <w:p>
            <w:pPr>
              <w:jc w:val="center"/>
              <w:textAlignment w:val="center"/>
              <w:rPr>
                <w:rFonts w:hint="eastAsia" w:ascii="宋体" w:hAnsi="宋体"/>
                <w:color w:val="000000"/>
                <w:kern w:val="0"/>
                <w:sz w:val="16"/>
                <w:lang w:val="en-US" w:eastAsia="zh-CN"/>
              </w:rPr>
            </w:pPr>
            <w:r>
              <w:rPr>
                <w:rFonts w:hint="eastAsia" w:ascii="宋体" w:hAnsi="宋体"/>
                <w:color w:val="000000"/>
                <w:kern w:val="0"/>
                <w:sz w:val="32"/>
                <w:lang w:val="en-US" w:eastAsia="zh-CN"/>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585" w:type="dxa"/>
            <w:gridSpan w:val="12"/>
            <w:tcBorders>
              <w:top w:val="nil"/>
              <w:left w:val="nil"/>
              <w:bottom w:val="nil"/>
              <w:right w:val="nil"/>
              <w:tl2br w:val="nil"/>
              <w:tr2bl w:val="nil"/>
            </w:tcBorders>
            <w:noWrap w:val="0"/>
            <w:tcMar>
              <w:top w:w="15" w:type="dxa"/>
              <w:left w:w="15" w:type="dxa"/>
              <w:right w:w="15" w:type="dxa"/>
            </w:tcMar>
            <w:vAlign w:val="center"/>
          </w:tcPr>
          <w:p>
            <w:pPr>
              <w:jc w:val="center"/>
              <w:textAlignment w:val="center"/>
              <w:rPr>
                <w:rFonts w:hint="eastAsia" w:ascii="宋体" w:hAnsi="宋体"/>
                <w:color w:val="000000"/>
                <w:kern w:val="0"/>
                <w:sz w:val="16"/>
                <w:lang w:val="en-US" w:eastAsia="zh-CN"/>
              </w:rPr>
            </w:pPr>
            <w:r>
              <w:rPr>
                <w:rFonts w:hint="eastAsia" w:ascii="宋体" w:hAnsi="宋体"/>
                <w:color w:val="000000"/>
                <w:kern w:val="0"/>
                <w:sz w:val="16"/>
                <w:lang w:val="en-US" w:eastAsia="zh-CN"/>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8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项目名称</w:t>
            </w:r>
          </w:p>
        </w:tc>
        <w:tc>
          <w:tcPr>
            <w:tcW w:w="7755" w:type="dxa"/>
            <w:gridSpan w:val="10"/>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kern w:val="0"/>
                <w:sz w:val="16"/>
                <w:lang w:val="en-US" w:eastAsia="zh-CN"/>
              </w:rPr>
            </w:pPr>
            <w:r>
              <w:rPr>
                <w:rFonts w:hint="eastAsia" w:ascii="宋体" w:hAnsi="宋体"/>
                <w:color w:val="000000"/>
                <w:kern w:val="0"/>
                <w:sz w:val="16"/>
                <w:lang w:val="en-US" w:eastAsia="zh-CN"/>
              </w:rPr>
              <w:t>互联网光纤服务费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8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主管部门</w:t>
            </w:r>
          </w:p>
        </w:tc>
        <w:tc>
          <w:tcPr>
            <w:tcW w:w="334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kern w:val="0"/>
                <w:sz w:val="16"/>
                <w:lang w:val="en-US" w:eastAsia="zh-CN"/>
              </w:rPr>
            </w:pPr>
            <w:r>
              <w:rPr>
                <w:rFonts w:hint="eastAsia" w:ascii="宋体" w:hAnsi="宋体"/>
                <w:color w:val="000000"/>
                <w:kern w:val="0"/>
                <w:sz w:val="16"/>
                <w:lang w:val="en-US" w:eastAsia="zh-CN"/>
              </w:rPr>
              <w:t>政府办公室</w:t>
            </w:r>
          </w:p>
        </w:tc>
        <w:tc>
          <w:tcPr>
            <w:tcW w:w="20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实施单位</w:t>
            </w:r>
          </w:p>
        </w:tc>
        <w:tc>
          <w:tcPr>
            <w:tcW w:w="2340"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830" w:type="dxa"/>
            <w:gridSpan w:val="2"/>
            <w:vMerge w:val="restart"/>
            <w:tcBorders>
              <w:top w:val="single" w:color="000000" w:sz="4" w:space="0"/>
              <w:left w:val="single" w:color="000000" w:sz="4" w:space="0"/>
              <w:bottom w:val="nil"/>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r>
              <w:rPr>
                <w:rFonts w:hint="eastAsia" w:ascii="宋体" w:hAnsi="宋体"/>
                <w:color w:val="000000"/>
                <w:kern w:val="0"/>
                <w:sz w:val="16"/>
                <w:lang w:val="en-US" w:eastAsia="zh-CN"/>
              </w:rPr>
              <w:t>项目资金</w:t>
            </w:r>
            <w:r>
              <w:rPr>
                <w:rFonts w:hint="eastAsia" w:ascii="宋体" w:hAnsi="宋体"/>
                <w:color w:val="000000"/>
                <w:kern w:val="0"/>
                <w:sz w:val="16"/>
                <w:lang w:val="en-US" w:eastAsia="zh-CN"/>
              </w:rPr>
              <w:br w:type="textWrapping"/>
            </w:r>
            <w:r>
              <w:rPr>
                <w:rFonts w:hint="eastAsia" w:ascii="宋体" w:hAnsi="宋体"/>
                <w:color w:val="000000"/>
                <w:kern w:val="0"/>
                <w:sz w:val="16"/>
                <w:lang w:val="en-US" w:eastAsia="zh-CN"/>
              </w:rPr>
              <w:t>（万元）</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年初预算数</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全年预算数</w:t>
            </w:r>
          </w:p>
        </w:tc>
        <w:tc>
          <w:tcPr>
            <w:tcW w:w="20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全年执行数</w:t>
            </w:r>
          </w:p>
        </w:tc>
        <w:tc>
          <w:tcPr>
            <w:tcW w:w="78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分值</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执行率</w:t>
            </w: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830" w:type="dxa"/>
            <w:gridSpan w:val="2"/>
            <w:vMerge w:val="continue"/>
            <w:tcBorders>
              <w:top w:val="nil"/>
              <w:left w:val="single" w:color="000000" w:sz="4" w:space="0"/>
              <w:bottom w:val="nil"/>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kern w:val="0"/>
                <w:sz w:val="16"/>
                <w:lang w:val="en-US" w:eastAsia="zh-CN"/>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kern w:val="0"/>
                <w:sz w:val="16"/>
                <w:lang w:val="en-US" w:eastAsia="zh-CN"/>
              </w:rPr>
            </w:pPr>
            <w:r>
              <w:rPr>
                <w:rFonts w:hint="eastAsia" w:ascii="宋体" w:hAnsi="宋体"/>
                <w:color w:val="000000"/>
                <w:kern w:val="0"/>
                <w:sz w:val="16"/>
                <w:lang w:val="en-US" w:eastAsia="zh-CN"/>
              </w:rPr>
              <w:t>年度资金总额</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10.80</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10.80</w:t>
            </w:r>
          </w:p>
        </w:tc>
        <w:tc>
          <w:tcPr>
            <w:tcW w:w="20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10.80</w:t>
            </w:r>
          </w:p>
        </w:tc>
        <w:tc>
          <w:tcPr>
            <w:tcW w:w="78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100.00%</w:t>
            </w: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830" w:type="dxa"/>
            <w:gridSpan w:val="2"/>
            <w:vMerge w:val="continue"/>
            <w:tcBorders>
              <w:top w:val="nil"/>
              <w:left w:val="single" w:color="000000" w:sz="4" w:space="0"/>
              <w:bottom w:val="nil"/>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kern w:val="0"/>
                <w:sz w:val="16"/>
                <w:lang w:val="en-US" w:eastAsia="zh-CN"/>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kern w:val="0"/>
                <w:sz w:val="16"/>
                <w:lang w:val="en-US" w:eastAsia="zh-CN"/>
              </w:rPr>
            </w:pPr>
            <w:r>
              <w:rPr>
                <w:rFonts w:hint="eastAsia" w:ascii="宋体" w:hAnsi="宋体"/>
                <w:color w:val="000000"/>
                <w:kern w:val="0"/>
                <w:sz w:val="16"/>
                <w:lang w:val="en-US" w:eastAsia="zh-CN"/>
              </w:rPr>
              <w:t>其中：当年财政拨款</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10.8</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10.8</w:t>
            </w:r>
          </w:p>
        </w:tc>
        <w:tc>
          <w:tcPr>
            <w:tcW w:w="20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10.8</w:t>
            </w:r>
          </w:p>
        </w:tc>
        <w:tc>
          <w:tcPr>
            <w:tcW w:w="78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830" w:type="dxa"/>
            <w:gridSpan w:val="2"/>
            <w:vMerge w:val="continue"/>
            <w:tcBorders>
              <w:top w:val="nil"/>
              <w:left w:val="single" w:color="000000" w:sz="4" w:space="0"/>
              <w:bottom w:val="nil"/>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kern w:val="0"/>
                <w:sz w:val="16"/>
                <w:lang w:val="en-US" w:eastAsia="zh-CN"/>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kern w:val="0"/>
                <w:sz w:val="16"/>
                <w:lang w:val="en-US" w:eastAsia="zh-CN"/>
              </w:rPr>
            </w:pPr>
            <w:r>
              <w:rPr>
                <w:rFonts w:hint="eastAsia" w:ascii="宋体" w:hAnsi="宋体"/>
                <w:color w:val="000000"/>
                <w:kern w:val="0"/>
                <w:sz w:val="16"/>
                <w:lang w:val="en-US" w:eastAsia="zh-CN"/>
              </w:rPr>
              <w:t xml:space="preserve">      上年结转资金</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0</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0</w:t>
            </w:r>
          </w:p>
        </w:tc>
        <w:tc>
          <w:tcPr>
            <w:tcW w:w="20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0</w:t>
            </w:r>
          </w:p>
        </w:tc>
        <w:tc>
          <w:tcPr>
            <w:tcW w:w="78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830" w:type="dxa"/>
            <w:gridSpan w:val="2"/>
            <w:vMerge w:val="continue"/>
            <w:tcBorders>
              <w:top w:val="nil"/>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kern w:val="0"/>
                <w:sz w:val="16"/>
                <w:lang w:val="en-US" w:eastAsia="zh-CN"/>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kern w:val="0"/>
                <w:sz w:val="16"/>
                <w:lang w:val="en-US" w:eastAsia="zh-CN"/>
              </w:rPr>
            </w:pPr>
            <w:r>
              <w:rPr>
                <w:rFonts w:hint="eastAsia" w:ascii="宋体" w:hAnsi="宋体"/>
                <w:color w:val="000000"/>
                <w:kern w:val="0"/>
                <w:sz w:val="16"/>
                <w:lang w:val="en-US" w:eastAsia="zh-CN"/>
              </w:rPr>
              <w:t xml:space="preserve">  其他资金</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0</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0</w:t>
            </w:r>
          </w:p>
        </w:tc>
        <w:tc>
          <w:tcPr>
            <w:tcW w:w="20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0</w:t>
            </w:r>
          </w:p>
        </w:tc>
        <w:tc>
          <w:tcPr>
            <w:tcW w:w="78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23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年度总体目标</w:t>
            </w:r>
          </w:p>
        </w:tc>
        <w:tc>
          <w:tcPr>
            <w:tcW w:w="394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kern w:val="0"/>
                <w:sz w:val="16"/>
                <w:lang w:val="en-US" w:eastAsia="zh-CN"/>
              </w:rPr>
            </w:pPr>
            <w:r>
              <w:rPr>
                <w:rFonts w:hint="eastAsia" w:ascii="宋体" w:hAnsi="宋体"/>
                <w:color w:val="000000"/>
                <w:kern w:val="0"/>
                <w:sz w:val="16"/>
                <w:lang w:val="en-US" w:eastAsia="zh-CN"/>
              </w:rPr>
              <w:t>预期目标</w:t>
            </w:r>
          </w:p>
        </w:tc>
        <w:tc>
          <w:tcPr>
            <w:tcW w:w="4410"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5" w:hRule="atLeast"/>
        </w:trPr>
        <w:tc>
          <w:tcPr>
            <w:tcW w:w="123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3945"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textAlignment w:val="center"/>
              <w:rPr>
                <w:rFonts w:hint="eastAsia" w:ascii="宋体" w:hAnsi="宋体"/>
                <w:color w:val="000000"/>
                <w:kern w:val="0"/>
                <w:sz w:val="16"/>
                <w:lang w:val="en-US" w:eastAsia="zh-CN"/>
              </w:rPr>
            </w:pPr>
            <w:r>
              <w:rPr>
                <w:rFonts w:hint="eastAsia" w:ascii="宋体" w:hAnsi="宋体"/>
                <w:color w:val="000000"/>
                <w:kern w:val="0"/>
                <w:sz w:val="16"/>
                <w:lang w:val="en-US" w:eastAsia="zh-CN"/>
              </w:rPr>
              <w:t>确保效能，提供更好服务</w:t>
            </w:r>
          </w:p>
        </w:tc>
        <w:tc>
          <w:tcPr>
            <w:tcW w:w="4410"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按照合同内容享受了电信公司提供的一站式服务，包括互联网连接、调试、测试，以及使用过程中故障的排除、日常维护、检测，确保了所有使用单位网络畅通，保障了与外部单位的工作连接。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23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60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一级指标</w:t>
            </w:r>
          </w:p>
        </w:tc>
        <w:tc>
          <w:tcPr>
            <w:tcW w:w="117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二级指标</w:t>
            </w:r>
          </w:p>
        </w:tc>
        <w:tc>
          <w:tcPr>
            <w:tcW w:w="217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三级指标</w:t>
            </w:r>
          </w:p>
        </w:tc>
        <w:tc>
          <w:tcPr>
            <w:tcW w:w="117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年度指标值</w:t>
            </w:r>
          </w:p>
        </w:tc>
        <w:tc>
          <w:tcPr>
            <w:tcW w:w="90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实际完成值</w:t>
            </w:r>
          </w:p>
        </w:tc>
        <w:tc>
          <w:tcPr>
            <w:tcW w:w="60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分值</w:t>
            </w:r>
          </w:p>
        </w:tc>
        <w:tc>
          <w:tcPr>
            <w:tcW w:w="69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得分</w:t>
            </w:r>
          </w:p>
        </w:tc>
        <w:tc>
          <w:tcPr>
            <w:tcW w:w="105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23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60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1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21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1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90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60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69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05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23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年度绩效指标完成情况</w:t>
            </w:r>
          </w:p>
        </w:tc>
        <w:tc>
          <w:tcPr>
            <w:tcW w:w="60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产出指标</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数量指标</w:t>
            </w:r>
          </w:p>
        </w:tc>
        <w:tc>
          <w:tcPr>
            <w:tcW w:w="217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公网IP地址数量</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=15个</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15个</w:t>
            </w:r>
          </w:p>
        </w:tc>
        <w:tc>
          <w:tcPr>
            <w:tcW w:w="6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23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60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数量指标</w:t>
            </w:r>
          </w:p>
        </w:tc>
        <w:tc>
          <w:tcPr>
            <w:tcW w:w="217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覆盖楼数</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=1栋</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1栋</w:t>
            </w:r>
          </w:p>
        </w:tc>
        <w:tc>
          <w:tcPr>
            <w:tcW w:w="6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23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60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质量指标</w:t>
            </w:r>
          </w:p>
        </w:tc>
        <w:tc>
          <w:tcPr>
            <w:tcW w:w="217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通讯网络畅通率</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w:t>
            </w:r>
          </w:p>
        </w:tc>
        <w:tc>
          <w:tcPr>
            <w:tcW w:w="6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23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60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质量指标</w:t>
            </w:r>
          </w:p>
        </w:tc>
        <w:tc>
          <w:tcPr>
            <w:tcW w:w="217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连接、调通、测试等环节的故障解决率</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w:t>
            </w:r>
          </w:p>
        </w:tc>
        <w:tc>
          <w:tcPr>
            <w:tcW w:w="6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23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60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时效指标</w:t>
            </w:r>
          </w:p>
        </w:tc>
        <w:tc>
          <w:tcPr>
            <w:tcW w:w="217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按时支付资金</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w:t>
            </w:r>
          </w:p>
        </w:tc>
        <w:tc>
          <w:tcPr>
            <w:tcW w:w="6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w:t>
            </w: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23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60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时效指标</w:t>
            </w:r>
          </w:p>
        </w:tc>
        <w:tc>
          <w:tcPr>
            <w:tcW w:w="217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2020年度第3-4季度尾款支付时间</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&lt;=2月</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2月</w:t>
            </w:r>
          </w:p>
        </w:tc>
        <w:tc>
          <w:tcPr>
            <w:tcW w:w="6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23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60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成本指标</w:t>
            </w:r>
          </w:p>
        </w:tc>
        <w:tc>
          <w:tcPr>
            <w:tcW w:w="217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互联网光纤服务费季度支付额</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=5.4万元/季度</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5.4万元/季度</w:t>
            </w:r>
          </w:p>
        </w:tc>
        <w:tc>
          <w:tcPr>
            <w:tcW w:w="6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w:t>
            </w: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123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60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成本指标</w:t>
            </w:r>
          </w:p>
        </w:tc>
        <w:tc>
          <w:tcPr>
            <w:tcW w:w="217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互联网光纤服务费2020年度第3-4季度应付款</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=10.8万元</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10.8万元</w:t>
            </w:r>
          </w:p>
        </w:tc>
        <w:tc>
          <w:tcPr>
            <w:tcW w:w="6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23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60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效益指标</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经济效益指标</w:t>
            </w:r>
          </w:p>
        </w:tc>
        <w:tc>
          <w:tcPr>
            <w:tcW w:w="217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rPr>
                <w:rFonts w:hint="eastAsia" w:ascii="宋体" w:hAnsi="宋体"/>
                <w:color w:val="000000"/>
                <w:sz w:val="16"/>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23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60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社会效益指标</w:t>
            </w:r>
          </w:p>
        </w:tc>
        <w:tc>
          <w:tcPr>
            <w:tcW w:w="217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保障光纤通讯线路通畅</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有效</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有效通畅</w:t>
            </w:r>
          </w:p>
        </w:tc>
        <w:tc>
          <w:tcPr>
            <w:tcW w:w="6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15</w:t>
            </w: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15</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23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60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生态效益指标</w:t>
            </w:r>
          </w:p>
        </w:tc>
        <w:tc>
          <w:tcPr>
            <w:tcW w:w="217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rPr>
                <w:rFonts w:hint="eastAsia" w:ascii="宋体" w:hAnsi="宋体"/>
                <w:color w:val="000000"/>
                <w:sz w:val="16"/>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23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60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可持续影响指标</w:t>
            </w:r>
          </w:p>
        </w:tc>
        <w:tc>
          <w:tcPr>
            <w:tcW w:w="217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系统正常使用年限</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&gt;=1年</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1年</w:t>
            </w:r>
          </w:p>
        </w:tc>
        <w:tc>
          <w:tcPr>
            <w:tcW w:w="6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15</w:t>
            </w: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15</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23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满意度指标</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满意度指标</w:t>
            </w:r>
          </w:p>
        </w:tc>
        <w:tc>
          <w:tcPr>
            <w:tcW w:w="217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服务对象满意度</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&gt;=95%</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95%</w:t>
            </w:r>
          </w:p>
        </w:tc>
        <w:tc>
          <w:tcPr>
            <w:tcW w:w="6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w:t>
            </w: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7245"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总分</w:t>
            </w:r>
          </w:p>
        </w:tc>
        <w:tc>
          <w:tcPr>
            <w:tcW w:w="6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w:t>
            </w: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100.00分</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r>
    </w:tbl>
    <w:p>
      <w:pPr>
        <w:shd w:val="clear" w:color="auto" w:fill="FFFFFF"/>
        <w:spacing w:before="100" w:line="520" w:lineRule="exact"/>
        <w:ind w:left="118" w:firstLine="480"/>
        <w:rPr>
          <w:rFonts w:hint="default" w:eastAsia="Times New Roman"/>
          <w:color w:val="auto"/>
          <w:kern w:val="0"/>
          <w:sz w:val="24"/>
          <w:highlight w:val="white"/>
          <w:lang w:val="en-US"/>
        </w:rPr>
      </w:pPr>
    </w:p>
    <w:tbl>
      <w:tblPr>
        <w:tblStyle w:val="2"/>
        <w:tblW w:w="9585" w:type="dxa"/>
        <w:tblInd w:w="-3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10"/>
        <w:gridCol w:w="765"/>
        <w:gridCol w:w="1035"/>
        <w:gridCol w:w="885"/>
        <w:gridCol w:w="1020"/>
        <w:gridCol w:w="105"/>
        <w:gridCol w:w="1110"/>
        <w:gridCol w:w="1125"/>
        <w:gridCol w:w="150"/>
        <w:gridCol w:w="360"/>
        <w:gridCol w:w="360"/>
        <w:gridCol w:w="390"/>
        <w:gridCol w:w="360"/>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9585" w:type="dxa"/>
            <w:gridSpan w:val="14"/>
            <w:tcBorders>
              <w:top w:val="nil"/>
              <w:left w:val="nil"/>
              <w:bottom w:val="nil"/>
              <w:right w:val="nil"/>
              <w:tl2br w:val="nil"/>
              <w:tr2bl w:val="nil"/>
            </w:tcBorders>
            <w:noWrap w:val="0"/>
            <w:tcMar>
              <w:top w:w="15" w:type="dxa"/>
              <w:left w:w="15" w:type="dxa"/>
              <w:right w:w="15" w:type="dxa"/>
            </w:tcMar>
            <w:vAlign w:val="center"/>
          </w:tcPr>
          <w:p>
            <w:pPr>
              <w:jc w:val="center"/>
              <w:textAlignment w:val="center"/>
              <w:rPr>
                <w:rFonts w:hint="eastAsia" w:ascii="宋体" w:hAnsi="宋体"/>
                <w:b/>
                <w:color w:val="000000"/>
                <w:sz w:val="32"/>
              </w:rPr>
            </w:pPr>
            <w:r>
              <w:rPr>
                <w:rFonts w:hint="eastAsia" w:ascii="宋体" w:hAnsi="宋体"/>
                <w:b/>
                <w:color w:val="000000"/>
                <w:kern w:val="0"/>
                <w:sz w:val="32"/>
                <w:lang w:val="en-US" w:eastAsia="zh-CN"/>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585" w:type="dxa"/>
            <w:gridSpan w:val="14"/>
            <w:tcBorders>
              <w:top w:val="nil"/>
              <w:left w:val="nil"/>
              <w:bottom w:val="nil"/>
              <w:right w:val="nil"/>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20"/>
              </w:rPr>
            </w:pPr>
            <w:r>
              <w:rPr>
                <w:rFonts w:hint="eastAsia" w:ascii="宋体" w:hAnsi="宋体"/>
                <w:color w:val="000000"/>
                <w:kern w:val="0"/>
                <w:sz w:val="20"/>
                <w:lang w:val="en-US" w:eastAsia="zh-CN"/>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5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项目名称</w:t>
            </w:r>
          </w:p>
        </w:tc>
        <w:tc>
          <w:tcPr>
            <w:tcW w:w="8010" w:type="dxa"/>
            <w:gridSpan w:val="1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访惠聚人员补助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6" w:hRule="atLeast"/>
        </w:trPr>
        <w:tc>
          <w:tcPr>
            <w:tcW w:w="15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主管部门</w:t>
            </w:r>
          </w:p>
        </w:tc>
        <w:tc>
          <w:tcPr>
            <w:tcW w:w="4155"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政府办公室</w:t>
            </w: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实施单位</w:t>
            </w:r>
          </w:p>
        </w:tc>
        <w:tc>
          <w:tcPr>
            <w:tcW w:w="2580"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6" w:hRule="atLeast"/>
        </w:trPr>
        <w:tc>
          <w:tcPr>
            <w:tcW w:w="157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项目资金</w:t>
            </w:r>
            <w:r>
              <w:rPr>
                <w:rFonts w:hint="eastAsia" w:ascii="宋体" w:hAnsi="宋体"/>
                <w:color w:val="000000"/>
                <w:kern w:val="0"/>
                <w:sz w:val="16"/>
                <w:lang w:val="en-US" w:eastAsia="zh-CN"/>
              </w:rPr>
              <w:br w:type="textWrapping"/>
            </w:r>
            <w:r>
              <w:rPr>
                <w:rFonts w:hint="eastAsia" w:ascii="宋体" w:hAnsi="宋体"/>
                <w:color w:val="000000"/>
                <w:kern w:val="0"/>
                <w:sz w:val="16"/>
                <w:lang w:val="en-US" w:eastAsia="zh-CN"/>
              </w:rPr>
              <w:t>（万元）</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年初预算数</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全年预算数</w:t>
            </w: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全年执行数</w:t>
            </w:r>
          </w:p>
        </w:tc>
        <w:tc>
          <w:tcPr>
            <w:tcW w:w="72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分值</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执行率</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15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年度资金总额</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7.20</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6.18</w:t>
            </w: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6.18</w:t>
            </w:r>
          </w:p>
        </w:tc>
        <w:tc>
          <w:tcPr>
            <w:tcW w:w="72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100.00%</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15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其中：当年财政拨款</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7.2</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6.18</w:t>
            </w: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6.18</w:t>
            </w:r>
          </w:p>
        </w:tc>
        <w:tc>
          <w:tcPr>
            <w:tcW w:w="72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15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 xml:space="preserve">      上年结转资金</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0</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0</w:t>
            </w: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0</w:t>
            </w:r>
          </w:p>
        </w:tc>
        <w:tc>
          <w:tcPr>
            <w:tcW w:w="72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6" w:hRule="atLeast"/>
        </w:trPr>
        <w:tc>
          <w:tcPr>
            <w:tcW w:w="15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 xml:space="preserve">  其他资金</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0</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0</w:t>
            </w: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0</w:t>
            </w:r>
          </w:p>
        </w:tc>
        <w:tc>
          <w:tcPr>
            <w:tcW w:w="72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81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年度总体目标</w:t>
            </w:r>
          </w:p>
        </w:tc>
        <w:tc>
          <w:tcPr>
            <w:tcW w:w="4920"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预期目标</w:t>
            </w:r>
          </w:p>
        </w:tc>
        <w:tc>
          <w:tcPr>
            <w:tcW w:w="3855"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4920"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保证我办干部深入基层“访惠聚”活动正常开展。</w:t>
            </w:r>
          </w:p>
        </w:tc>
        <w:tc>
          <w:tcPr>
            <w:tcW w:w="3855"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1.坚持以群众为中心，加大走访力度，了解居民困难诉求，畅通群众反映问题渠道，帮助解决实际问题；2.把建强基层组织摆在重要位置，积极协助社区加强基层组织建设；3.把维护稳定作为重大政治责任放在驻社区工作首位，不折不扣落实好上级各项维稳措施。4.派出单位做好了后盾和后勤保障工作，确保了访惠聚人员补助及时发放，有效保证了访惠聚工作的正常开展，保障了访惠聚工作队队员无生活上的顾虑和困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81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6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一级指标</w:t>
            </w:r>
          </w:p>
        </w:tc>
        <w:tc>
          <w:tcPr>
            <w:tcW w:w="103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二级指标</w:t>
            </w:r>
          </w:p>
        </w:tc>
        <w:tc>
          <w:tcPr>
            <w:tcW w:w="2010"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三级指标</w:t>
            </w:r>
          </w:p>
        </w:tc>
        <w:tc>
          <w:tcPr>
            <w:tcW w:w="111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年度指标值</w:t>
            </w:r>
          </w:p>
        </w:tc>
        <w:tc>
          <w:tcPr>
            <w:tcW w:w="112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实际完成值</w:t>
            </w:r>
          </w:p>
        </w:tc>
        <w:tc>
          <w:tcPr>
            <w:tcW w:w="51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分值</w:t>
            </w:r>
          </w:p>
        </w:tc>
        <w:tc>
          <w:tcPr>
            <w:tcW w:w="75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得分</w:t>
            </w:r>
          </w:p>
        </w:tc>
        <w:tc>
          <w:tcPr>
            <w:tcW w:w="147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6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03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201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11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12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51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5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47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1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年度绩效指标完成情况</w:t>
            </w:r>
          </w:p>
        </w:tc>
        <w:tc>
          <w:tcPr>
            <w:tcW w:w="76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产出指标</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数量指标</w:t>
            </w:r>
          </w:p>
        </w:tc>
        <w:tc>
          <w:tcPr>
            <w:tcW w:w="201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发放（补助）人数（人次）</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=5人</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5人</w:t>
            </w:r>
          </w:p>
        </w:tc>
        <w:tc>
          <w:tcPr>
            <w:tcW w:w="5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2</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2</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6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数量指标</w:t>
            </w:r>
          </w:p>
        </w:tc>
        <w:tc>
          <w:tcPr>
            <w:tcW w:w="201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发放（补助）次数</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=12次</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12次</w:t>
            </w:r>
          </w:p>
        </w:tc>
        <w:tc>
          <w:tcPr>
            <w:tcW w:w="5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3</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3</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6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质量指标</w:t>
            </w:r>
          </w:p>
        </w:tc>
        <w:tc>
          <w:tcPr>
            <w:tcW w:w="201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资金按规支付率</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w:t>
            </w:r>
          </w:p>
        </w:tc>
        <w:tc>
          <w:tcPr>
            <w:tcW w:w="5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6" w:hRule="atLeast"/>
        </w:trPr>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6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质量指标</w:t>
            </w:r>
          </w:p>
        </w:tc>
        <w:tc>
          <w:tcPr>
            <w:tcW w:w="201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协助社区完成工作合格率</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w:t>
            </w:r>
          </w:p>
        </w:tc>
        <w:tc>
          <w:tcPr>
            <w:tcW w:w="5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6" w:hRule="atLeast"/>
        </w:trPr>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6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时效指标</w:t>
            </w:r>
          </w:p>
        </w:tc>
        <w:tc>
          <w:tcPr>
            <w:tcW w:w="201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项目完成及时率</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w:t>
            </w:r>
          </w:p>
        </w:tc>
        <w:tc>
          <w:tcPr>
            <w:tcW w:w="5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6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时效指标</w:t>
            </w:r>
          </w:p>
        </w:tc>
        <w:tc>
          <w:tcPr>
            <w:tcW w:w="201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资金发放（补助）及时性</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w:t>
            </w:r>
          </w:p>
        </w:tc>
        <w:tc>
          <w:tcPr>
            <w:tcW w:w="5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6" w:hRule="atLeast"/>
        </w:trPr>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6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成本指标</w:t>
            </w:r>
          </w:p>
        </w:tc>
        <w:tc>
          <w:tcPr>
            <w:tcW w:w="201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总项目成本</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&lt;=7.2万元</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6.18万元</w:t>
            </w:r>
          </w:p>
        </w:tc>
        <w:tc>
          <w:tcPr>
            <w:tcW w:w="5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5</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6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成本指标</w:t>
            </w:r>
          </w:p>
        </w:tc>
        <w:tc>
          <w:tcPr>
            <w:tcW w:w="201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每次发放（补助）资金数</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&lt;=0.6万元</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0.6万元</w:t>
            </w:r>
          </w:p>
        </w:tc>
        <w:tc>
          <w:tcPr>
            <w:tcW w:w="5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2</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2</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6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成本指标</w:t>
            </w:r>
          </w:p>
        </w:tc>
        <w:tc>
          <w:tcPr>
            <w:tcW w:w="201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“访惠聚”补助人均标准</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=1200元/人/月</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1200元/人/月</w:t>
            </w:r>
          </w:p>
        </w:tc>
        <w:tc>
          <w:tcPr>
            <w:tcW w:w="5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3</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3</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6" w:hRule="atLeast"/>
        </w:trPr>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6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效益指标</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经济效益指标</w:t>
            </w:r>
          </w:p>
        </w:tc>
        <w:tc>
          <w:tcPr>
            <w:tcW w:w="201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rPr>
                <w:rFonts w:hint="eastAsia" w:ascii="宋体" w:hAnsi="宋体"/>
                <w:color w:val="000000"/>
                <w:sz w:val="16"/>
              </w:rPr>
            </w:pP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5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6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社会效益指标</w:t>
            </w:r>
          </w:p>
        </w:tc>
        <w:tc>
          <w:tcPr>
            <w:tcW w:w="201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有效解决社会居民困难</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有效</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有效</w:t>
            </w:r>
          </w:p>
        </w:tc>
        <w:tc>
          <w:tcPr>
            <w:tcW w:w="5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6" w:hRule="atLeast"/>
        </w:trPr>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6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社会效益指标</w:t>
            </w:r>
          </w:p>
        </w:tc>
        <w:tc>
          <w:tcPr>
            <w:tcW w:w="201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有效完善工作队工作职能</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有效</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有效</w:t>
            </w:r>
          </w:p>
        </w:tc>
        <w:tc>
          <w:tcPr>
            <w:tcW w:w="5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6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生态效益指标</w:t>
            </w:r>
          </w:p>
        </w:tc>
        <w:tc>
          <w:tcPr>
            <w:tcW w:w="201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rPr>
                <w:rFonts w:hint="eastAsia" w:ascii="宋体" w:hAnsi="宋体"/>
                <w:color w:val="000000"/>
                <w:sz w:val="16"/>
              </w:rPr>
            </w:pP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5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6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可持续影响指标</w:t>
            </w:r>
          </w:p>
        </w:tc>
        <w:tc>
          <w:tcPr>
            <w:tcW w:w="201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持续解决所在社区居民困难</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&gt;=1年</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1年</w:t>
            </w:r>
          </w:p>
        </w:tc>
        <w:tc>
          <w:tcPr>
            <w:tcW w:w="5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c>
          <w:tcPr>
            <w:tcW w:w="76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满意度指标</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满意度指标</w:t>
            </w:r>
          </w:p>
        </w:tc>
        <w:tc>
          <w:tcPr>
            <w:tcW w:w="201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eastAsia" w:ascii="宋体" w:hAnsi="宋体"/>
                <w:color w:val="000000"/>
                <w:sz w:val="16"/>
              </w:rPr>
            </w:pPr>
            <w:r>
              <w:rPr>
                <w:rFonts w:hint="eastAsia" w:ascii="宋体" w:hAnsi="宋体"/>
                <w:color w:val="000000"/>
                <w:kern w:val="0"/>
                <w:sz w:val="16"/>
                <w:lang w:val="en-US" w:eastAsia="zh-CN"/>
              </w:rPr>
              <w:t>受益人员满意度</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&gt;=95%</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95%</w:t>
            </w:r>
          </w:p>
        </w:tc>
        <w:tc>
          <w:tcPr>
            <w:tcW w:w="5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15</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15</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eastAsia" w:ascii="宋体"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6" w:hRule="atLeast"/>
        </w:trPr>
        <w:tc>
          <w:tcPr>
            <w:tcW w:w="6855" w:type="dxa"/>
            <w:gridSpan w:val="8"/>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总分</w:t>
            </w:r>
          </w:p>
        </w:tc>
        <w:tc>
          <w:tcPr>
            <w:tcW w:w="5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ascii="宋体" w:hAnsi="宋体"/>
                <w:color w:val="000000"/>
                <w:sz w:val="16"/>
              </w:rPr>
            </w:pPr>
            <w:r>
              <w:rPr>
                <w:rFonts w:hint="eastAsia" w:ascii="宋体" w:hAnsi="宋体"/>
                <w:color w:val="000000"/>
                <w:kern w:val="0"/>
                <w:sz w:val="16"/>
                <w:lang w:val="en-US" w:eastAsia="zh-CN"/>
              </w:rPr>
              <w:t>100.00分</w:t>
            </w:r>
          </w:p>
        </w:tc>
        <w:tc>
          <w:tcPr>
            <w:tcW w:w="14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16"/>
              </w:rPr>
            </w:pP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default" w:eastAsia="Times New Roman"/>
          <w:b/>
          <w:color w:val="auto"/>
          <w:kern w:val="0"/>
          <w:sz w:val="28"/>
          <w:lang w:val="en-US"/>
        </w:rPr>
      </w:pPr>
      <w:r>
        <w:rPr>
          <w:rFonts w:hint="eastAsia" w:ascii="黑体" w:hAnsi="黑体" w:eastAsia="黑体"/>
          <w:color w:val="auto"/>
          <w:kern w:val="0"/>
          <w:sz w:val="32"/>
          <w:lang w:val="en-US"/>
        </w:rPr>
        <w:t>第三部分 专业名词解释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eastAsia="Times New Roman"/>
          <w:color w:val="auto"/>
          <w:kern w:val="0"/>
          <w:sz w:val="32"/>
          <w:lang w:val="en-US"/>
        </w:rPr>
      </w:pPr>
      <w:r>
        <w:rPr>
          <w:rFonts w:hint="eastAsia" w:ascii="仿宋_GB2312" w:hAnsi="仿宋_GB2312" w:eastAsia="仿宋_GB2312"/>
          <w:color w:val="auto"/>
          <w:kern w:val="0"/>
          <w:sz w:val="32"/>
          <w:lang w:val="en-US"/>
        </w:rPr>
        <w:t>财政拨款收入：指同级财政当年拨付的资金。</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eastAsia="Times New Roman"/>
          <w:color w:val="auto"/>
          <w:kern w:val="0"/>
          <w:sz w:val="32"/>
          <w:lang w:val="en-US"/>
        </w:rPr>
      </w:pPr>
      <w:r>
        <w:rPr>
          <w:rFonts w:hint="eastAsia" w:ascii="仿宋_GB2312" w:hAnsi="仿宋_GB2312" w:eastAsia="仿宋_GB2312"/>
          <w:color w:val="auto"/>
          <w:kern w:val="0"/>
          <w:sz w:val="32"/>
          <w:lang w:val="en-US"/>
        </w:rPr>
        <w:t>上级补助收入：指事业单位从主管部门和上级单位取得的非财政补助收入。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eastAsia="Times New Roman"/>
          <w:color w:val="auto"/>
          <w:kern w:val="0"/>
          <w:sz w:val="32"/>
          <w:lang w:val="en-US"/>
        </w:rPr>
      </w:pPr>
      <w:r>
        <w:rPr>
          <w:rFonts w:hint="eastAsia" w:ascii="仿宋_GB2312" w:hAnsi="仿宋_GB2312" w:eastAsia="仿宋_GB2312"/>
          <w:color w:val="auto"/>
          <w:kern w:val="0"/>
          <w:sz w:val="32"/>
          <w:lang w:val="en-US"/>
        </w:rPr>
        <w:t>事业收入：指事业单位开展专业业务活动及其辅助活动所取得的收入。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eastAsia="Times New Roman"/>
          <w:color w:val="auto"/>
          <w:kern w:val="0"/>
          <w:sz w:val="32"/>
          <w:lang w:val="en-US"/>
        </w:rPr>
      </w:pPr>
      <w:r>
        <w:rPr>
          <w:rFonts w:hint="eastAsia" w:ascii="仿宋_GB2312" w:hAnsi="仿宋_GB2312" w:eastAsia="仿宋_GB2312"/>
          <w:color w:val="auto"/>
          <w:kern w:val="0"/>
          <w:sz w:val="32"/>
          <w:lang w:val="en-US"/>
        </w:rPr>
        <w:t>经营收入：指事业单位在专业业务活动及其辅助活动之外开展非独立核算经营活动取得的收入。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eastAsia="Times New Roman"/>
          <w:color w:val="auto"/>
          <w:kern w:val="0"/>
          <w:sz w:val="32"/>
          <w:lang w:val="en-US"/>
        </w:rPr>
      </w:pPr>
      <w:r>
        <w:rPr>
          <w:rFonts w:hint="eastAsia" w:ascii="仿宋_GB2312" w:hAnsi="仿宋_GB2312" w:eastAsia="仿宋_GB2312"/>
          <w:color w:val="auto"/>
          <w:kern w:val="0"/>
          <w:sz w:val="32"/>
          <w:lang w:val="en-US"/>
        </w:rPr>
        <w:t>附属单位上缴收入：指事业单位附属的独立核算单位按有关规定上缴的收入。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eastAsia="Times New Roman"/>
          <w:color w:val="auto"/>
          <w:kern w:val="0"/>
          <w:sz w:val="32"/>
          <w:lang w:val="en-US"/>
        </w:rPr>
      </w:pPr>
      <w:r>
        <w:rPr>
          <w:rFonts w:hint="eastAsia" w:ascii="仿宋_GB2312" w:hAnsi="仿宋_GB2312" w:eastAsia="仿宋_GB2312"/>
          <w:color w:val="auto"/>
          <w:kern w:val="0"/>
          <w:sz w:val="32"/>
          <w:lang w:val="en-US"/>
        </w:rPr>
        <w:t>其他收入：指除上述“财政拨款收入”、“事业收入”、“经营收入”、“附属单位上缴收入”等之外取得的收入。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eastAsia="Times New Roman"/>
          <w:color w:val="auto"/>
          <w:kern w:val="0"/>
          <w:sz w:val="32"/>
          <w:lang w:val="en-US"/>
        </w:rPr>
      </w:pPr>
      <w:r>
        <w:rPr>
          <w:rFonts w:hint="eastAsia" w:ascii="仿宋_GB2312" w:hAnsi="仿宋_GB2312" w:eastAsia="仿宋_GB2312"/>
          <w:color w:val="auto"/>
          <w:kern w:val="0"/>
          <w:sz w:val="32"/>
          <w:lang w:val="en-US"/>
        </w:rPr>
        <w:t>年初结转和结余：指以前年度支出预算因客观条件变化未执行完毕、结转到本年度按有关规定继续使用的资金，既包括财政拨款结转和结余，也包括事业收入、经营收入、其他收入的结转和结余。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eastAsia="Times New Roman"/>
          <w:color w:val="auto"/>
          <w:kern w:val="0"/>
          <w:sz w:val="32"/>
          <w:lang w:val="en-US"/>
        </w:rPr>
      </w:pPr>
      <w:r>
        <w:rPr>
          <w:rFonts w:hint="eastAsia" w:ascii="仿宋_GB2312" w:hAnsi="仿宋_GB2312" w:eastAsia="仿宋_GB2312"/>
          <w:color w:val="auto"/>
          <w:kern w:val="0"/>
          <w:sz w:val="32"/>
          <w:lang w:val="en-US"/>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eastAsia="Times New Roman"/>
          <w:color w:val="auto"/>
          <w:kern w:val="0"/>
          <w:sz w:val="32"/>
          <w:lang w:val="en-US"/>
        </w:rPr>
      </w:pPr>
      <w:r>
        <w:rPr>
          <w:rFonts w:hint="eastAsia" w:ascii="仿宋_GB2312" w:hAnsi="仿宋_GB2312" w:eastAsia="仿宋_GB2312"/>
          <w:color w:val="auto"/>
          <w:kern w:val="0"/>
          <w:sz w:val="32"/>
          <w:lang w:val="en-US"/>
        </w:rPr>
        <w:t>基本支出：指为保障机构正常运转、完成日常工作任务而发生的人员支出和公用支出。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eastAsia="Times New Roman"/>
          <w:color w:val="auto"/>
          <w:kern w:val="0"/>
          <w:sz w:val="32"/>
          <w:lang w:val="en-US"/>
        </w:rPr>
      </w:pPr>
      <w:r>
        <w:rPr>
          <w:rFonts w:hint="eastAsia" w:ascii="仿宋_GB2312" w:hAnsi="仿宋_GB2312" w:eastAsia="仿宋_GB2312"/>
          <w:color w:val="auto"/>
          <w:kern w:val="0"/>
          <w:sz w:val="32"/>
          <w:lang w:val="en-US"/>
        </w:rPr>
        <w:t>项目支出：指在基本支出之外为完成特定行政任务和事业发展目标所发生的支出。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eastAsia="Times New Roman"/>
          <w:color w:val="auto"/>
          <w:kern w:val="0"/>
          <w:sz w:val="32"/>
          <w:lang w:val="en-US"/>
        </w:rPr>
      </w:pPr>
      <w:r>
        <w:rPr>
          <w:rFonts w:hint="eastAsia" w:ascii="仿宋_GB2312" w:hAnsi="仿宋_GB2312" w:eastAsia="仿宋_GB2312"/>
          <w:color w:val="auto"/>
          <w:kern w:val="0"/>
          <w:sz w:val="32"/>
          <w:lang w:val="en-US"/>
        </w:rPr>
        <w:t>经营支出：指事业单位在专业业务活动及其辅助活动之外开展非独立核算经营活动发生的支出。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eastAsia="Times New Roman"/>
          <w:color w:val="auto"/>
          <w:kern w:val="0"/>
          <w:sz w:val="32"/>
          <w:lang w:val="en-US"/>
        </w:rPr>
      </w:pPr>
      <w:r>
        <w:rPr>
          <w:rFonts w:hint="eastAsia" w:ascii="仿宋_GB2312" w:hAnsi="仿宋_GB2312" w:eastAsia="仿宋_GB2312"/>
          <w:color w:val="auto"/>
          <w:kern w:val="0"/>
          <w:sz w:val="32"/>
          <w:lang w:val="en-US"/>
        </w:rPr>
        <w:t>对附属单位补助支出：指事业单位发生的用非财政预算资金对附属单位的补助支出。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eastAsia="Times New Roman"/>
          <w:color w:val="auto"/>
          <w:kern w:val="0"/>
          <w:sz w:val="32"/>
          <w:lang w:val="en-US"/>
        </w:rPr>
      </w:pPr>
      <w:r>
        <w:rPr>
          <w:rFonts w:hint="eastAsia" w:ascii="仿宋_GB2312" w:hAnsi="仿宋_GB2312" w:eastAsia="仿宋_GB2312"/>
          <w:color w:val="auto"/>
          <w:kern w:val="0"/>
          <w:sz w:val="32"/>
          <w:lang w:val="en-US"/>
        </w:rPr>
        <w:t>“三公”经费：指用一般公共预算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eastAsia="Times New Roman"/>
          <w:color w:val="auto"/>
          <w:kern w:val="0"/>
          <w:sz w:val="32"/>
          <w:lang w:val="en-US"/>
        </w:rPr>
      </w:pPr>
      <w:r>
        <w:rPr>
          <w:rFonts w:hint="eastAsia" w:ascii="仿宋_GB2312" w:hAnsi="仿宋_GB2312" w:eastAsia="仿宋_GB2312"/>
          <w:color w:val="auto"/>
          <w:kern w:val="0"/>
          <w:sz w:val="32"/>
          <w:lang w:val="en-US"/>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hd w:val="clear" w:color="auto" w:fill="FFFFFF"/>
        <w:spacing w:before="100" w:line="520" w:lineRule="exact"/>
        <w:rPr>
          <w:rFonts w:hint="default" w:eastAsia="Times New Roman"/>
          <w:color w:val="auto"/>
          <w:kern w:val="0"/>
          <w:sz w:val="24"/>
          <w:lang w:val="en-US"/>
        </w:rPr>
      </w:pPr>
    </w:p>
    <w:p>
      <w:pPr>
        <w:shd w:val="clear" w:color="auto" w:fill="FFFFFF"/>
        <w:spacing w:before="100" w:after="240"/>
        <w:jc w:val="center"/>
        <w:rPr>
          <w:rFonts w:hint="default" w:eastAsia="Times New Roman"/>
          <w:color w:val="auto"/>
          <w:kern w:val="0"/>
          <w:sz w:val="32"/>
          <w:lang w:val="en-US"/>
        </w:rPr>
      </w:pPr>
      <w:r>
        <w:rPr>
          <w:rFonts w:hint="eastAsia" w:ascii="黑体" w:hAnsi="黑体" w:eastAsia="黑体"/>
          <w:color w:val="auto"/>
          <w:kern w:val="0"/>
          <w:sz w:val="32"/>
          <w:lang w:val="en-US"/>
        </w:rPr>
        <w:t>第四部分 部门决算报表（见附表）</w:t>
      </w:r>
    </w:p>
    <w:p>
      <w:pPr>
        <w:spacing w:line="540" w:lineRule="exact"/>
        <w:ind w:firstLine="640"/>
        <w:rPr>
          <w:rFonts w:hint="default" w:eastAsia="Times New Roman"/>
          <w:color w:val="auto"/>
          <w:sz w:val="32"/>
          <w:lang w:val="en-US"/>
        </w:rPr>
      </w:pPr>
      <w:r>
        <w:rPr>
          <w:rFonts w:hint="eastAsia" w:ascii="黑体" w:hAnsi="黑体" w:eastAsia="黑体"/>
          <w:color w:val="auto"/>
          <w:sz w:val="32"/>
          <w:lang w:val="en-US"/>
        </w:rPr>
        <w:t>一、《收入支出决算总表》</w:t>
      </w:r>
    </w:p>
    <w:p>
      <w:pPr>
        <w:spacing w:line="540" w:lineRule="exact"/>
        <w:ind w:firstLine="640"/>
        <w:rPr>
          <w:rFonts w:hint="default" w:eastAsia="Times New Roman"/>
          <w:color w:val="auto"/>
          <w:sz w:val="32"/>
          <w:lang w:val="en-US"/>
        </w:rPr>
      </w:pPr>
      <w:r>
        <w:rPr>
          <w:rFonts w:hint="eastAsia" w:ascii="黑体" w:hAnsi="黑体" w:eastAsia="黑体"/>
          <w:color w:val="auto"/>
          <w:sz w:val="32"/>
          <w:lang w:val="en-US"/>
        </w:rPr>
        <w:t>二、《收入决算表》</w:t>
      </w:r>
    </w:p>
    <w:p>
      <w:pPr>
        <w:spacing w:line="540" w:lineRule="exact"/>
        <w:ind w:firstLine="640"/>
        <w:rPr>
          <w:rFonts w:hint="default" w:eastAsia="Times New Roman"/>
          <w:color w:val="auto"/>
          <w:sz w:val="32"/>
          <w:lang w:val="en-US"/>
        </w:rPr>
      </w:pPr>
      <w:r>
        <w:rPr>
          <w:rFonts w:hint="eastAsia" w:ascii="黑体" w:hAnsi="黑体" w:eastAsia="黑体"/>
          <w:color w:val="auto"/>
          <w:sz w:val="32"/>
          <w:lang w:val="en-US"/>
        </w:rPr>
        <w:t>三、《支出决算表》</w:t>
      </w:r>
    </w:p>
    <w:p>
      <w:pPr>
        <w:spacing w:line="540" w:lineRule="exact"/>
        <w:ind w:firstLine="640"/>
        <w:rPr>
          <w:rFonts w:hint="default" w:eastAsia="Times New Roman"/>
          <w:color w:val="auto"/>
          <w:sz w:val="32"/>
          <w:lang w:val="en-US"/>
        </w:rPr>
      </w:pPr>
      <w:r>
        <w:rPr>
          <w:rFonts w:hint="eastAsia" w:ascii="黑体" w:hAnsi="黑体" w:eastAsia="黑体"/>
          <w:color w:val="auto"/>
          <w:sz w:val="32"/>
          <w:lang w:val="en-US"/>
        </w:rPr>
        <w:t>四、《财政拨款收入支出决算总表》</w:t>
      </w:r>
    </w:p>
    <w:p>
      <w:pPr>
        <w:spacing w:line="540" w:lineRule="exact"/>
        <w:ind w:firstLine="640"/>
        <w:rPr>
          <w:rFonts w:hint="default" w:eastAsia="Times New Roman"/>
          <w:color w:val="auto"/>
          <w:sz w:val="32"/>
          <w:lang w:val="en-US"/>
        </w:rPr>
      </w:pPr>
      <w:r>
        <w:rPr>
          <w:rFonts w:hint="eastAsia" w:ascii="黑体" w:hAnsi="黑体" w:eastAsia="黑体"/>
          <w:color w:val="auto"/>
          <w:sz w:val="32"/>
          <w:lang w:val="en-US"/>
        </w:rPr>
        <w:t>五、《一般公共预算财政拨款支出决算表》</w:t>
      </w:r>
    </w:p>
    <w:p>
      <w:pPr>
        <w:spacing w:line="540" w:lineRule="exact"/>
        <w:ind w:firstLine="640"/>
        <w:rPr>
          <w:rFonts w:hint="default" w:eastAsia="Times New Roman"/>
          <w:color w:val="auto"/>
          <w:sz w:val="32"/>
          <w:lang w:val="en-US"/>
        </w:rPr>
      </w:pPr>
      <w:r>
        <w:rPr>
          <w:rFonts w:hint="eastAsia" w:ascii="黑体" w:hAnsi="黑体" w:eastAsia="黑体"/>
          <w:color w:val="auto"/>
          <w:sz w:val="32"/>
          <w:lang w:val="en-US"/>
        </w:rPr>
        <w:t>六、《一般公共预算财政拨款基本支出决算表》</w:t>
      </w:r>
    </w:p>
    <w:p>
      <w:pPr>
        <w:spacing w:line="540" w:lineRule="exact"/>
        <w:ind w:firstLine="640"/>
        <w:rPr>
          <w:rFonts w:hint="default" w:eastAsia="Times New Roman"/>
          <w:color w:val="auto"/>
          <w:sz w:val="32"/>
          <w:lang w:val="en-US"/>
        </w:rPr>
      </w:pPr>
      <w:r>
        <w:rPr>
          <w:rFonts w:hint="eastAsia" w:ascii="黑体" w:hAnsi="黑体" w:eastAsia="黑体"/>
          <w:color w:val="auto"/>
          <w:sz w:val="32"/>
          <w:lang w:val="en-US"/>
        </w:rPr>
        <w:t>七、《一般公共预算财政拨款“三公”经费支出决算表》</w:t>
      </w:r>
    </w:p>
    <w:p>
      <w:pPr>
        <w:spacing w:line="540" w:lineRule="exact"/>
        <w:ind w:firstLine="640"/>
        <w:rPr>
          <w:rFonts w:hint="default" w:eastAsia="Times New Roman"/>
          <w:color w:val="auto"/>
          <w:kern w:val="0"/>
          <w:sz w:val="32"/>
          <w:lang w:val="en-US"/>
        </w:rPr>
      </w:pPr>
      <w:r>
        <w:rPr>
          <w:rFonts w:hint="eastAsia" w:ascii="黑体" w:hAnsi="黑体" w:eastAsia="黑体"/>
          <w:color w:val="auto"/>
          <w:sz w:val="32"/>
          <w:lang w:val="en-US"/>
        </w:rPr>
        <w:t>八、《政府性基金预算财政拨款收入支出决算表》</w:t>
      </w:r>
    </w:p>
    <w:p>
      <w:pPr>
        <w:spacing w:line="540" w:lineRule="exact"/>
        <w:ind w:firstLine="640"/>
        <w:rPr>
          <w:rFonts w:hint="default" w:eastAsia="Times New Roman"/>
          <w:color w:val="auto"/>
          <w:kern w:val="0"/>
          <w:sz w:val="32"/>
          <w:lang w:val="en-US"/>
        </w:rPr>
      </w:pPr>
      <w:r>
        <w:rPr>
          <w:rFonts w:hint="eastAsia" w:ascii="黑体" w:hAnsi="黑体" w:eastAsia="黑体"/>
          <w:color w:val="auto"/>
          <w:sz w:val="32"/>
          <w:lang w:val="zh-CN"/>
        </w:rPr>
        <w:t>九</w:t>
      </w:r>
      <w:r>
        <w:rPr>
          <w:rFonts w:hint="eastAsia" w:ascii="黑体" w:hAnsi="黑体" w:eastAsia="黑体"/>
          <w:color w:val="auto"/>
          <w:sz w:val="32"/>
          <w:lang w:val="en-US"/>
        </w:rPr>
        <w:t>、《国有资本经营预算财政拨款收入支出决算表》</w:t>
      </w:r>
    </w:p>
    <w:p>
      <w:pPr>
        <w:jc w:val="left"/>
        <w:rPr>
          <w:rFonts w:hint="default" w:eastAsia="Times New Roman"/>
          <w:color w:val="auto"/>
          <w:kern w:val="36"/>
          <w:sz w:val="40"/>
          <w:lang w:val="zh-CN"/>
        </w:rPr>
      </w:pPr>
    </w:p>
    <w:p>
      <w:pPr>
        <w:rPr>
          <w:rFonts w:hint="default" w:eastAsia="Times New Roman"/>
          <w:color w:val="auto"/>
          <w:sz w:val="21"/>
          <w:lang w:val="en-US"/>
        </w:rPr>
      </w:pPr>
    </w:p>
    <w:p>
      <w:pPr>
        <w:jc w:val="left"/>
        <w:rPr>
          <w:rFonts w:hint="default" w:eastAsia="Times New Roman"/>
          <w:color w:val="auto"/>
          <w:kern w:val="36"/>
          <w:sz w:val="40"/>
          <w:lang w:val="zh-CN"/>
        </w:rPr>
      </w:pPr>
    </w:p>
    <w:p>
      <w:pPr>
        <w:rPr>
          <w:rFonts w:hint="default" w:eastAsia="Times New Roman"/>
          <w:color w:val="auto"/>
          <w:sz w:val="21"/>
          <w:lang w:val="en-US"/>
        </w:rPr>
      </w:pPr>
    </w:p>
    <w:p>
      <w:pPr>
        <w:jc w:val="left"/>
        <w:rPr>
          <w:rFonts w:hint="default" w:eastAsia="Times New Roman"/>
          <w:color w:val="auto"/>
          <w:kern w:val="36"/>
          <w:sz w:val="40"/>
          <w:lang w:val="zh-CN"/>
        </w:rPr>
      </w:pPr>
    </w:p>
    <w:p>
      <w:bookmarkStart w:id="0" w:name="_GoBack"/>
      <w:bookmarkEnd w:id="0"/>
    </w:p>
    <w:sectPr>
      <w:pgSz w:w="12240" w:h="15840"/>
      <w:pgMar w:top="2098" w:right="1531" w:bottom="1984" w:left="1531"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42364"/>
    <w:rsid w:val="0F642364"/>
    <w:rsid w:val="243338B1"/>
    <w:rsid w:val="5585758A"/>
    <w:rsid w:val="70FF4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jc w:val="both"/>
    </w:pPr>
    <w:rPr>
      <w:rFonts w:hint="default" w:ascii="Times New Roman" w:hAnsi="Times New Roman" w:eastAsia="宋体" w:cs="Times New Roman"/>
      <w:kern w:val="2"/>
      <w:sz w:val="21"/>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Strong"/>
    <w:basedOn w:val="3"/>
    <w:unhideWhenUsed/>
    <w:qFormat/>
    <w:uiPriority w:val="0"/>
    <w:rPr>
      <w:rFonts w:hint="default"/>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2023-04-07T03:53:00Z</dcterms:created>
  <dc:creator>Administrator</dc:creator>
  <cp:lastModifiedBy>Administrator</cp:lastModifiedBy>
  <dcterms:modified xsi:type="dcterms:W3CDTF">2023-04-07T09:18:18Z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