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高新区（新市区)三工片区</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本部门概况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一、关于本部门2019年收支预算情况的总体说明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二、关于本部门2019年收入预算情况说明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三、关于本部门2019年支出预算情况说明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四、关于本部门</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五、关于本部门2019年一般公共预算当年拨款情况说明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六、关于本部门2019年一般公共预算基本支出情况说明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七、关于本部门2019年项目支出情况说明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八、关于本部门2019年一般公共预算“三公”经费预算情况说明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九、关于本部门2019年政府性基金预算拨款情况说明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本部门概况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pStyle w:val="6"/>
        <w:shd w:val="clear" w:color="auto" w:fill="FFFFFF"/>
        <w:spacing w:line="315" w:lineRule="atLeast"/>
        <w:ind w:firstLine="640" w:firstLineChars="200"/>
        <w:rPr>
          <w:rFonts w:ascii="仿宋_GB2312" w:eastAsia="仿宋_GB2312"/>
          <w:sz w:val="32"/>
          <w:szCs w:val="32"/>
        </w:rPr>
      </w:pPr>
      <w:r>
        <w:rPr>
          <w:rFonts w:hint="eastAsia" w:ascii="仿宋_GB2312" w:hAnsi="仿宋" w:eastAsia="仿宋_GB2312"/>
          <w:kern w:val="2"/>
          <w:sz w:val="32"/>
          <w:szCs w:val="32"/>
        </w:rPr>
        <w:t>一、贯彻执行党委和精神文明建设委员会的指示，检查了解贯彻执行情况，完成区委和区政府布置的各项任务。</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二、拟定全地区开展群众性建设活动的规划</w:t>
      </w:r>
      <w:r>
        <w:rPr>
          <w:rFonts w:hint="eastAsia" w:ascii="仿宋_GB2312" w:hAnsi="仿宋" w:eastAsia="仿宋_GB2312"/>
          <w:kern w:val="2"/>
          <w:sz w:val="32"/>
          <w:szCs w:val="32"/>
          <w:lang w:val="en-US" w:eastAsia="zh-CN"/>
        </w:rPr>
        <w:t>和</w:t>
      </w:r>
      <w:bookmarkStart w:id="0" w:name="_GoBack"/>
      <w:bookmarkEnd w:id="0"/>
      <w:r>
        <w:rPr>
          <w:rFonts w:hint="eastAsia" w:ascii="仿宋_GB2312" w:hAnsi="仿宋" w:eastAsia="仿宋_GB2312"/>
          <w:kern w:val="2"/>
          <w:sz w:val="32"/>
          <w:szCs w:val="32"/>
        </w:rPr>
        <w:t>年度安排、措施等，并负责检查、指导开展情况。</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三、负责美化环境、优良秩序、优质服务和优化管理为基本内容的创建活动。负责全地区文明单位、花园式单位、“窗口”单位优质服务，学雷锋等创建活动的布置实施，检查、评比、表彰等工作；宏观上指导全地区开展各项创建工作。</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四、负责培训、总结推广全地区先进个人和先进集体的典型经验，推动全地区精神文明建设。</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五、负责全地区先进个人和先进集体的评选、表彰、奖励及基金的管理和使用。</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六、指导全地区军警民共建活动。</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七、负责组织全地区工作理论研讨活动。</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八、具体负责向乌市和自治区推荐市级和自治区级文明单位。</w:t>
      </w:r>
      <w:r>
        <w:rPr>
          <w:rFonts w:hint="eastAsia" w:ascii="仿宋_GB2312" w:hAnsi="仿宋" w:eastAsia="仿宋_GB2312"/>
          <w:kern w:val="2"/>
          <w:sz w:val="32"/>
          <w:szCs w:val="32"/>
        </w:rPr>
        <w:br w:type="textWrapping"/>
      </w:r>
      <w:r>
        <w:rPr>
          <w:rFonts w:hint="eastAsia" w:ascii="仿宋_GB2312" w:hAnsi="仿宋" w:eastAsia="仿宋_GB2312"/>
          <w:kern w:val="2"/>
          <w:sz w:val="32"/>
          <w:szCs w:val="32"/>
        </w:rPr>
        <w:t>　　九、完成部领导和上级安排的其它工作。</w:t>
      </w: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机构设置及人员情况</w:t>
      </w:r>
    </w:p>
    <w:p>
      <w:pPr>
        <w:spacing w:line="560" w:lineRule="exact"/>
        <w:ind w:firstLine="640"/>
        <w:rPr>
          <w:rFonts w:ascii="仿宋_GB2312" w:hAnsi="宋体" w:eastAsia="仿宋_GB2312" w:cs="宋体"/>
          <w:sz w:val="32"/>
          <w:szCs w:val="32"/>
        </w:rPr>
      </w:pPr>
      <w:r>
        <w:rPr>
          <w:rFonts w:hint="eastAsia" w:ascii="仿宋_GB2312" w:hAnsi="黑体" w:eastAsia="仿宋_GB2312" w:cs="宋体"/>
          <w:bCs/>
          <w:sz w:val="32"/>
          <w:szCs w:val="32"/>
        </w:rPr>
        <w:t xml:space="preserve">高新区（新市区）三工片区管委会无下属预算单位，下设6个中心： </w:t>
      </w:r>
      <w:r>
        <w:rPr>
          <w:rFonts w:hint="eastAsia" w:ascii="仿宋_GB2312" w:hAnsi="宋体" w:eastAsia="仿宋_GB2312" w:cs="宋体"/>
          <w:sz w:val="32"/>
          <w:szCs w:val="32"/>
        </w:rPr>
        <w:t>行政社会事务执法管理服务中心、综治信访人员补助中心(安全生产监督管理站)、城区管理服务中心、流动人口和出租房屋管理中心、市场管理服务中心、物业管理服务中心</w:t>
      </w:r>
      <w:r>
        <w:rPr>
          <w:rFonts w:hint="eastAsia" w:ascii="仿宋_GB2312" w:hAnsi="黑体" w:eastAsia="仿宋_GB2312" w:cs="宋体"/>
          <w:bCs/>
          <w:sz w:val="32"/>
          <w:szCs w:val="32"/>
        </w:rPr>
        <w:t>，2个科室：</w:t>
      </w:r>
      <w:r>
        <w:rPr>
          <w:rFonts w:hint="eastAsia" w:ascii="仿宋_GB2312" w:hAnsi="宋体" w:eastAsia="仿宋_GB2312" w:cs="宋体"/>
          <w:sz w:val="32"/>
          <w:szCs w:val="32"/>
        </w:rPr>
        <w:t>党政办公室、协调指导科</w:t>
      </w:r>
      <w:r>
        <w:rPr>
          <w:rFonts w:hint="eastAsia" w:ascii="仿宋_GB2312" w:hAnsi="黑体" w:eastAsia="仿宋_GB2312" w:cs="宋体"/>
          <w:bCs/>
          <w:sz w:val="32"/>
          <w:szCs w:val="32"/>
        </w:rPr>
        <w:t>，10个社区：</w:t>
      </w:r>
      <w:r>
        <w:rPr>
          <w:rFonts w:hint="eastAsia" w:ascii="仿宋_GB2312" w:hAnsi="宋体" w:eastAsia="仿宋_GB2312" w:cs="宋体"/>
          <w:sz w:val="32"/>
          <w:szCs w:val="32"/>
        </w:rPr>
        <w:t>北京北路社区、景苑社区、新联路社区、祥和社区、三工社区、百园路社区、汇轩园社区、花都社区、经环社区、和平桥社区。</w:t>
      </w:r>
    </w:p>
    <w:p>
      <w:pPr>
        <w:widowControl/>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高新区（新市区）三工片区管委会编制数109 ，实有人数 126人，其中：在职126 人，减少2人。</w:t>
      </w: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before="156" w:beforeLines="50"/>
        <w:jc w:val="center"/>
        <w:outlineLvl w:val="1"/>
        <w:rPr>
          <w:rFonts w:ascii="仿宋_GB2312" w:hAnsi="宋体" w:eastAsia="仿宋_GB2312"/>
          <w:b/>
          <w:kern w:val="0"/>
          <w:sz w:val="28"/>
          <w:szCs w:val="32"/>
        </w:rPr>
      </w:pPr>
      <w:r>
        <w:rPr>
          <w:rFonts w:hint="eastAsia" w:ascii="黑体" w:hAnsi="黑体" w:eastAsia="黑体"/>
          <w:kern w:val="0"/>
          <w:sz w:val="32"/>
          <w:szCs w:val="32"/>
        </w:rPr>
        <w:t>第二部分  2019年部门预算公开表</w:t>
      </w:r>
    </w:p>
    <w:tbl>
      <w:tblPr>
        <w:tblStyle w:val="7"/>
        <w:tblW w:w="7477" w:type="dxa"/>
        <w:tblInd w:w="92" w:type="dxa"/>
        <w:tblLayout w:type="fixed"/>
        <w:tblCellMar>
          <w:top w:w="0" w:type="dxa"/>
          <w:left w:w="108" w:type="dxa"/>
          <w:bottom w:w="0" w:type="dxa"/>
          <w:right w:w="108" w:type="dxa"/>
        </w:tblCellMar>
      </w:tblPr>
      <w:tblGrid>
        <w:gridCol w:w="2379"/>
        <w:gridCol w:w="1240"/>
        <w:gridCol w:w="2638"/>
        <w:gridCol w:w="1220"/>
      </w:tblGrid>
      <w:tr>
        <w:tblPrEx>
          <w:tblLayout w:type="fixed"/>
          <w:tblCellMar>
            <w:top w:w="0" w:type="dxa"/>
            <w:left w:w="108" w:type="dxa"/>
            <w:bottom w:w="0" w:type="dxa"/>
            <w:right w:w="108" w:type="dxa"/>
          </w:tblCellMar>
        </w:tblPrEx>
        <w:trPr>
          <w:gridAfter w:val="3"/>
          <w:wAfter w:w="5098" w:type="dxa"/>
          <w:trHeight w:val="345" w:hRule="atLeast"/>
        </w:trPr>
        <w:tc>
          <w:tcPr>
            <w:tcW w:w="2379" w:type="dxa"/>
            <w:tcBorders>
              <w:top w:val="nil"/>
              <w:left w:val="nil"/>
              <w:bottom w:val="nil"/>
              <w:right w:val="nil"/>
            </w:tcBorders>
            <w:shd w:val="clear" w:color="000000" w:fill="FFFFFF"/>
            <w:vAlign w:val="center"/>
          </w:tcPr>
          <w:p>
            <w:pPr>
              <w:rPr>
                <w:rFonts w:ascii="Default" w:hAnsi="Default" w:cs="Arial"/>
                <w:b/>
                <w:bCs/>
                <w:sz w:val="28"/>
                <w:szCs w:val="28"/>
              </w:rPr>
            </w:pPr>
            <w:r>
              <w:rPr>
                <w:rFonts w:ascii="Default" w:hAnsi="Default" w:cs="Arial"/>
                <w:b/>
                <w:bCs/>
                <w:sz w:val="28"/>
                <w:szCs w:val="28"/>
              </w:rPr>
              <w:t xml:space="preserve">  表一：</w:t>
            </w:r>
          </w:p>
        </w:tc>
      </w:tr>
      <w:tr>
        <w:tblPrEx>
          <w:tblLayout w:type="fixed"/>
          <w:tblCellMar>
            <w:top w:w="0" w:type="dxa"/>
            <w:left w:w="108" w:type="dxa"/>
            <w:bottom w:w="0" w:type="dxa"/>
            <w:right w:w="108" w:type="dxa"/>
          </w:tblCellMar>
        </w:tblPrEx>
        <w:trPr>
          <w:trHeight w:val="624" w:hRule="atLeast"/>
        </w:trPr>
        <w:tc>
          <w:tcPr>
            <w:tcW w:w="7477" w:type="dxa"/>
            <w:gridSpan w:val="4"/>
            <w:vMerge w:val="restart"/>
            <w:tcBorders>
              <w:top w:val="nil"/>
              <w:left w:val="nil"/>
              <w:bottom w:val="nil"/>
              <w:right w:val="nil"/>
            </w:tcBorders>
            <w:shd w:val="clear" w:color="000000" w:fill="FFFFFF"/>
            <w:vAlign w:val="center"/>
          </w:tcPr>
          <w:p>
            <w:pPr>
              <w:jc w:val="center"/>
              <w:rPr>
                <w:rFonts w:ascii="Default" w:hAnsi="Default" w:cs="Arial"/>
                <w:b/>
                <w:bCs/>
                <w:sz w:val="28"/>
                <w:szCs w:val="28"/>
              </w:rPr>
            </w:pPr>
            <w:r>
              <w:rPr>
                <w:rFonts w:ascii="Default" w:hAnsi="Default" w:cs="Arial"/>
                <w:b/>
                <w:bCs/>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7477" w:type="dxa"/>
            <w:gridSpan w:val="4"/>
            <w:vMerge w:val="continue"/>
            <w:tcBorders>
              <w:top w:val="nil"/>
              <w:left w:val="nil"/>
              <w:bottom w:val="nil"/>
              <w:right w:val="nil"/>
            </w:tcBorders>
            <w:vAlign w:val="center"/>
          </w:tcPr>
          <w:p>
            <w:pPr>
              <w:rPr>
                <w:rFonts w:ascii="Default" w:hAnsi="Default" w:cs="Arial"/>
                <w:b/>
                <w:bCs/>
                <w:sz w:val="28"/>
                <w:szCs w:val="28"/>
              </w:rPr>
            </w:pPr>
          </w:p>
        </w:tc>
      </w:tr>
      <w:tr>
        <w:tblPrEx>
          <w:tblLayout w:type="fixed"/>
          <w:tblCellMar>
            <w:top w:w="0" w:type="dxa"/>
            <w:left w:w="108" w:type="dxa"/>
            <w:bottom w:w="0" w:type="dxa"/>
            <w:right w:w="108" w:type="dxa"/>
          </w:tblCellMar>
        </w:tblPrEx>
        <w:trPr>
          <w:trHeight w:val="345" w:hRule="atLeast"/>
        </w:trPr>
        <w:tc>
          <w:tcPr>
            <w:tcW w:w="6257" w:type="dxa"/>
            <w:gridSpan w:val="3"/>
            <w:tcBorders>
              <w:top w:val="nil"/>
              <w:left w:val="nil"/>
              <w:bottom w:val="nil"/>
              <w:right w:val="nil"/>
            </w:tcBorders>
            <w:shd w:val="clear" w:color="000000" w:fill="FFFFFF"/>
          </w:tcPr>
          <w:p>
            <w:pPr>
              <w:rPr>
                <w:rFonts w:ascii="Default" w:hAnsi="Default" w:cs="Arial"/>
                <w:sz w:val="20"/>
                <w:szCs w:val="20"/>
              </w:rPr>
            </w:pPr>
            <w:r>
              <w:rPr>
                <w:rFonts w:ascii="Default" w:hAnsi="Default" w:cs="Arial"/>
                <w:sz w:val="20"/>
                <w:szCs w:val="20"/>
              </w:rPr>
              <w:t>编制部门:三工片区管委会</w:t>
            </w:r>
          </w:p>
        </w:tc>
        <w:tc>
          <w:tcPr>
            <w:tcW w:w="1220" w:type="dxa"/>
            <w:tcBorders>
              <w:top w:val="nil"/>
              <w:left w:val="nil"/>
              <w:bottom w:val="nil"/>
              <w:right w:val="nil"/>
            </w:tcBorders>
            <w:shd w:val="clear" w:color="000000" w:fill="FFFFFF"/>
          </w:tcPr>
          <w:p>
            <w:pPr>
              <w:jc w:val="right"/>
              <w:rPr>
                <w:rFonts w:ascii="Default" w:hAnsi="Default" w:cs="Arial"/>
                <w:sz w:val="20"/>
                <w:szCs w:val="20"/>
              </w:rPr>
            </w:pPr>
            <w:r>
              <w:rPr>
                <w:rFonts w:ascii="Default" w:hAnsi="Default" w:cs="Arial"/>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619" w:type="dxa"/>
            <w:gridSpan w:val="2"/>
            <w:tcBorders>
              <w:top w:val="single" w:color="000000" w:sz="4" w:space="0"/>
              <w:left w:val="single" w:color="000000" w:sz="4" w:space="0"/>
              <w:bottom w:val="single" w:color="000000" w:sz="4" w:space="0"/>
              <w:right w:val="single" w:color="000000" w:sz="4" w:space="0"/>
            </w:tcBorders>
            <w:shd w:val="clear" w:color="000000" w:fill="FFFFFF"/>
          </w:tcPr>
          <w:p>
            <w:pPr>
              <w:jc w:val="center"/>
              <w:rPr>
                <w:rFonts w:ascii="Default" w:hAnsi="Default" w:cs="Arial"/>
                <w:b/>
                <w:sz w:val="20"/>
                <w:szCs w:val="20"/>
              </w:rPr>
            </w:pPr>
            <w:r>
              <w:rPr>
                <w:rFonts w:ascii="Default" w:hAnsi="Default" w:cs="Arial"/>
                <w:b/>
                <w:sz w:val="20"/>
                <w:szCs w:val="20"/>
              </w:rPr>
              <w:t>收     入</w:t>
            </w:r>
          </w:p>
        </w:tc>
        <w:tc>
          <w:tcPr>
            <w:tcW w:w="3858" w:type="dxa"/>
            <w:gridSpan w:val="2"/>
            <w:tcBorders>
              <w:top w:val="single" w:color="000000" w:sz="4" w:space="0"/>
              <w:left w:val="nil"/>
              <w:bottom w:val="single" w:color="000000" w:sz="4" w:space="0"/>
              <w:right w:val="single" w:color="000000" w:sz="4" w:space="0"/>
            </w:tcBorders>
            <w:shd w:val="clear" w:color="000000" w:fill="FFFFFF"/>
          </w:tcPr>
          <w:p>
            <w:pPr>
              <w:jc w:val="center"/>
              <w:rPr>
                <w:rFonts w:ascii="Default" w:hAnsi="Default" w:cs="Arial"/>
                <w:b/>
                <w:sz w:val="20"/>
                <w:szCs w:val="20"/>
              </w:rPr>
            </w:pPr>
            <w:r>
              <w:rPr>
                <w:rFonts w:ascii="Default" w:hAnsi="Default" w:cs="Arial"/>
                <w:b/>
                <w:sz w:val="20"/>
                <w:szCs w:val="20"/>
              </w:rPr>
              <w:t>支     出</w:t>
            </w:r>
          </w:p>
        </w:tc>
      </w:tr>
      <w:tr>
        <w:tblPrEx>
          <w:tblLayout w:type="fixed"/>
          <w:tblCellMar>
            <w:top w:w="0" w:type="dxa"/>
            <w:left w:w="108" w:type="dxa"/>
            <w:bottom w:w="0" w:type="dxa"/>
            <w:right w:w="108" w:type="dxa"/>
          </w:tblCellMar>
        </w:tblPrEx>
        <w:trPr>
          <w:trHeight w:val="345" w:hRule="atLeast"/>
        </w:trPr>
        <w:tc>
          <w:tcPr>
            <w:tcW w:w="2379" w:type="dxa"/>
            <w:tcBorders>
              <w:top w:val="nil"/>
              <w:left w:val="single" w:color="000000" w:sz="4" w:space="0"/>
              <w:bottom w:val="single" w:color="000000" w:sz="4" w:space="0"/>
              <w:right w:val="single" w:color="000000" w:sz="4" w:space="0"/>
            </w:tcBorders>
            <w:shd w:val="clear" w:color="000000" w:fill="FFFFFF"/>
          </w:tcPr>
          <w:p>
            <w:pPr>
              <w:jc w:val="center"/>
              <w:rPr>
                <w:rFonts w:ascii="Default" w:hAnsi="Default" w:cs="Arial"/>
                <w:b/>
                <w:sz w:val="20"/>
                <w:szCs w:val="20"/>
              </w:rPr>
            </w:pPr>
            <w:r>
              <w:rPr>
                <w:rFonts w:ascii="Default" w:hAnsi="Default" w:cs="Arial"/>
                <w:b/>
                <w:sz w:val="20"/>
                <w:szCs w:val="20"/>
              </w:rPr>
              <w:t>项     目</w:t>
            </w:r>
          </w:p>
        </w:tc>
        <w:tc>
          <w:tcPr>
            <w:tcW w:w="1240" w:type="dxa"/>
            <w:tcBorders>
              <w:top w:val="nil"/>
              <w:left w:val="nil"/>
              <w:bottom w:val="single" w:color="000000" w:sz="4" w:space="0"/>
              <w:right w:val="single" w:color="000000" w:sz="4" w:space="0"/>
            </w:tcBorders>
            <w:shd w:val="clear" w:color="000000" w:fill="FFFFFF"/>
          </w:tcPr>
          <w:p>
            <w:pPr>
              <w:jc w:val="center"/>
              <w:rPr>
                <w:rFonts w:ascii="Default" w:hAnsi="Default" w:cs="Arial"/>
                <w:b/>
                <w:sz w:val="20"/>
                <w:szCs w:val="20"/>
              </w:rPr>
            </w:pPr>
            <w:r>
              <w:rPr>
                <w:rFonts w:ascii="Default" w:hAnsi="Default" w:cs="Arial"/>
                <w:b/>
                <w:sz w:val="20"/>
                <w:szCs w:val="20"/>
              </w:rPr>
              <w:t>预算数</w:t>
            </w:r>
          </w:p>
        </w:tc>
        <w:tc>
          <w:tcPr>
            <w:tcW w:w="2638" w:type="dxa"/>
            <w:tcBorders>
              <w:top w:val="nil"/>
              <w:left w:val="nil"/>
              <w:bottom w:val="single" w:color="000000" w:sz="4" w:space="0"/>
              <w:right w:val="single" w:color="000000" w:sz="4" w:space="0"/>
            </w:tcBorders>
            <w:shd w:val="clear" w:color="000000" w:fill="FFFFFF"/>
          </w:tcPr>
          <w:p>
            <w:pPr>
              <w:jc w:val="center"/>
              <w:rPr>
                <w:rFonts w:ascii="Default" w:hAnsi="Default" w:cs="Arial"/>
                <w:b/>
                <w:sz w:val="20"/>
                <w:szCs w:val="20"/>
              </w:rPr>
            </w:pPr>
            <w:r>
              <w:rPr>
                <w:rFonts w:ascii="Default" w:hAnsi="Default" w:cs="Arial"/>
                <w:b/>
                <w:sz w:val="20"/>
                <w:szCs w:val="20"/>
              </w:rPr>
              <w:t>功能分类</w:t>
            </w:r>
          </w:p>
        </w:tc>
        <w:tc>
          <w:tcPr>
            <w:tcW w:w="1220" w:type="dxa"/>
            <w:tcBorders>
              <w:top w:val="nil"/>
              <w:left w:val="nil"/>
              <w:bottom w:val="single" w:color="000000" w:sz="4" w:space="0"/>
              <w:right w:val="single" w:color="000000" w:sz="4" w:space="0"/>
            </w:tcBorders>
            <w:shd w:val="clear" w:color="000000" w:fill="FFFFFF"/>
          </w:tcPr>
          <w:p>
            <w:pPr>
              <w:jc w:val="center"/>
              <w:rPr>
                <w:rFonts w:ascii="Default" w:hAnsi="Default" w:cs="Arial"/>
                <w:b/>
                <w:sz w:val="20"/>
                <w:szCs w:val="20"/>
              </w:rPr>
            </w:pPr>
            <w:r>
              <w:rPr>
                <w:rFonts w:ascii="Default" w:hAnsi="Default" w:cs="Arial"/>
                <w:b/>
                <w:sz w:val="20"/>
                <w:szCs w:val="20"/>
              </w:rPr>
              <w:t>预算数</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财政拨款（补助）</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4,687.92</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201 一般公共服务支出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1,510.92</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一般公共预算</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4,687.92</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202 外交支出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政府性基金预算</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203 国防支出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教育收费（财政专户）</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204 公共安全支出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2,095.09</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事业收入</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205 教育支出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事业单位经营收入</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206 科学技术支出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其他收入</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207 文化旅游体育与传媒支出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用事业基金弥补收支差额</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208 社会保障和就业支出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944.17</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209 社会保险基金支出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210 卫生健康支出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137.74</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211 节能环保支出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212 城乡社区支出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213 农林水支出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214 交通运输支出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215 资源勘探信息等支出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216 商业服务业等支出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217 金融支出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219 援助其他地区支出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220 自然资源海洋气象等支出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221 住房保障支出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222 粮油物资储备支出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223 国有资本经营预算支出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224 灾害防治及应急管理支出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227 预备费</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229 其他支出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231 债务还本支出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232 债务付息支出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233 债务发行费用支出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小      计</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4,687.92</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小      计</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4,687.92</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单位上年结余（不包括国库集中支付额度结余）</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230 转移性支出</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　</w:t>
            </w:r>
          </w:p>
        </w:tc>
      </w:tr>
      <w:tr>
        <w:tblPrEx>
          <w:tblLayout w:type="fixed"/>
          <w:tblCellMar>
            <w:top w:w="0" w:type="dxa"/>
            <w:left w:w="108" w:type="dxa"/>
            <w:bottom w:w="0" w:type="dxa"/>
            <w:right w:w="108" w:type="dxa"/>
          </w:tblCellMar>
        </w:tblPrEx>
        <w:trPr>
          <w:trHeight w:val="300" w:hRule="atLeast"/>
        </w:trPr>
        <w:tc>
          <w:tcPr>
            <w:tcW w:w="2379" w:type="dxa"/>
            <w:tcBorders>
              <w:top w:val="nil"/>
              <w:left w:val="single" w:color="000000" w:sz="4" w:space="0"/>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收 入 总 计</w:t>
            </w:r>
          </w:p>
        </w:tc>
        <w:tc>
          <w:tcPr>
            <w:tcW w:w="124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4,687.92</w:t>
            </w:r>
          </w:p>
        </w:tc>
        <w:tc>
          <w:tcPr>
            <w:tcW w:w="2638" w:type="dxa"/>
            <w:tcBorders>
              <w:top w:val="nil"/>
              <w:left w:val="nil"/>
              <w:bottom w:val="single" w:color="000000" w:sz="4" w:space="0"/>
              <w:right w:val="single" w:color="000000" w:sz="4" w:space="0"/>
            </w:tcBorders>
            <w:shd w:val="clear" w:color="000000" w:fill="FFFFFF"/>
          </w:tcPr>
          <w:p>
            <w:pPr>
              <w:rPr>
                <w:rFonts w:ascii="Default" w:hAnsi="Default" w:cs="Arial"/>
                <w:sz w:val="20"/>
                <w:szCs w:val="20"/>
              </w:rPr>
            </w:pPr>
            <w:r>
              <w:rPr>
                <w:rFonts w:ascii="Default" w:hAnsi="Default" w:cs="Arial"/>
                <w:sz w:val="20"/>
                <w:szCs w:val="20"/>
              </w:rPr>
              <w:t xml:space="preserve">            支 出 总 计</w:t>
            </w:r>
          </w:p>
        </w:tc>
        <w:tc>
          <w:tcPr>
            <w:tcW w:w="1220" w:type="dxa"/>
            <w:tcBorders>
              <w:top w:val="nil"/>
              <w:left w:val="nil"/>
              <w:bottom w:val="single" w:color="000000" w:sz="4" w:space="0"/>
              <w:right w:val="single" w:color="000000" w:sz="4" w:space="0"/>
            </w:tcBorders>
            <w:shd w:val="clear" w:color="000000" w:fill="FFFFFF"/>
          </w:tcPr>
          <w:p>
            <w:pPr>
              <w:jc w:val="right"/>
              <w:rPr>
                <w:rFonts w:ascii="Default" w:hAnsi="Default" w:cs="Arial"/>
                <w:sz w:val="20"/>
                <w:szCs w:val="20"/>
              </w:rPr>
            </w:pPr>
            <w:r>
              <w:rPr>
                <w:rFonts w:ascii="Default" w:hAnsi="Default" w:cs="Arial"/>
                <w:sz w:val="20"/>
                <w:szCs w:val="20"/>
              </w:rPr>
              <w:t>4,687.92</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7"/>
        <w:tblW w:w="8840" w:type="dxa"/>
        <w:tblInd w:w="93" w:type="dxa"/>
        <w:tblLayout w:type="fixed"/>
        <w:tblCellMar>
          <w:top w:w="0" w:type="dxa"/>
          <w:left w:w="108" w:type="dxa"/>
          <w:bottom w:w="0" w:type="dxa"/>
          <w:right w:w="108" w:type="dxa"/>
        </w:tblCellMar>
      </w:tblPr>
      <w:tblGrid>
        <w:gridCol w:w="619"/>
        <w:gridCol w:w="697"/>
        <w:gridCol w:w="457"/>
        <w:gridCol w:w="1175"/>
        <w:gridCol w:w="1177"/>
        <w:gridCol w:w="1177"/>
        <w:gridCol w:w="511"/>
        <w:gridCol w:w="552"/>
        <w:gridCol w:w="485"/>
        <w:gridCol w:w="458"/>
        <w:gridCol w:w="524"/>
        <w:gridCol w:w="471"/>
        <w:gridCol w:w="537"/>
      </w:tblGrid>
      <w:tr>
        <w:tblPrEx>
          <w:tblLayout w:type="fixed"/>
          <w:tblCellMar>
            <w:top w:w="0" w:type="dxa"/>
            <w:left w:w="108" w:type="dxa"/>
            <w:bottom w:w="0" w:type="dxa"/>
            <w:right w:w="108" w:type="dxa"/>
          </w:tblCellMar>
        </w:tblPrEx>
        <w:trPr>
          <w:gridAfter w:val="10"/>
          <w:wAfter w:w="7067" w:type="dxa"/>
          <w:trHeight w:val="345" w:hRule="atLeast"/>
        </w:trPr>
        <w:tc>
          <w:tcPr>
            <w:tcW w:w="1773" w:type="dxa"/>
            <w:gridSpan w:val="3"/>
            <w:tcBorders>
              <w:top w:val="nil"/>
              <w:left w:val="nil"/>
              <w:bottom w:val="nil"/>
              <w:right w:val="nil"/>
            </w:tcBorders>
            <w:shd w:val="clear" w:color="000000" w:fill="FFFFFF"/>
          </w:tcPr>
          <w:p>
            <w:pPr>
              <w:widowControl/>
              <w:jc w:val="left"/>
              <w:rPr>
                <w:rFonts w:ascii="Default" w:hAnsi="Default" w:cs="Arial"/>
                <w:b/>
                <w:bCs/>
                <w:kern w:val="0"/>
                <w:sz w:val="26"/>
                <w:szCs w:val="26"/>
              </w:rPr>
            </w:pPr>
            <w:r>
              <w:rPr>
                <w:rFonts w:ascii="Default" w:hAnsi="Default" w:cs="Arial"/>
                <w:b/>
                <w:bCs/>
                <w:kern w:val="0"/>
                <w:sz w:val="26"/>
                <w:szCs w:val="26"/>
              </w:rPr>
              <w:t>表二：</w:t>
            </w:r>
          </w:p>
        </w:tc>
      </w:tr>
      <w:tr>
        <w:tblPrEx>
          <w:tblLayout w:type="fixed"/>
          <w:tblCellMar>
            <w:top w:w="0" w:type="dxa"/>
            <w:left w:w="108" w:type="dxa"/>
            <w:bottom w:w="0" w:type="dxa"/>
            <w:right w:w="108" w:type="dxa"/>
          </w:tblCellMar>
        </w:tblPrEx>
        <w:trPr>
          <w:trHeight w:val="645" w:hRule="atLeast"/>
        </w:trPr>
        <w:tc>
          <w:tcPr>
            <w:tcW w:w="7308" w:type="dxa"/>
            <w:gridSpan w:val="10"/>
            <w:tcBorders>
              <w:top w:val="nil"/>
              <w:left w:val="nil"/>
              <w:bottom w:val="nil"/>
              <w:right w:val="nil"/>
            </w:tcBorders>
            <w:shd w:val="clear" w:color="000000" w:fill="FFFFFF"/>
            <w:vAlign w:val="center"/>
          </w:tcPr>
          <w:p>
            <w:pPr>
              <w:widowControl/>
              <w:jc w:val="center"/>
              <w:rPr>
                <w:rFonts w:ascii="Default" w:hAnsi="Default" w:cs="Arial"/>
                <w:b/>
                <w:bCs/>
                <w:kern w:val="0"/>
                <w:sz w:val="30"/>
                <w:szCs w:val="30"/>
              </w:rPr>
            </w:pPr>
            <w:r>
              <w:rPr>
                <w:rFonts w:ascii="Default" w:hAnsi="Default" w:cs="Arial"/>
                <w:b/>
                <w:bCs/>
                <w:kern w:val="0"/>
                <w:sz w:val="30"/>
                <w:szCs w:val="30"/>
              </w:rPr>
              <w:t>部门收入总体情况表</w:t>
            </w:r>
          </w:p>
        </w:tc>
        <w:tc>
          <w:tcPr>
            <w:tcW w:w="524"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2948" w:type="dxa"/>
            <w:gridSpan w:val="4"/>
            <w:tcBorders>
              <w:top w:val="nil"/>
              <w:left w:val="nil"/>
              <w:bottom w:val="single" w:color="000000" w:sz="4" w:space="0"/>
              <w:right w:val="nil"/>
            </w:tcBorders>
            <w:shd w:val="clear" w:color="000000" w:fill="FFFFFF"/>
          </w:tcPr>
          <w:p>
            <w:pPr>
              <w:widowControl/>
              <w:jc w:val="center"/>
              <w:rPr>
                <w:rFonts w:ascii="Default" w:hAnsi="Default" w:cs="Arial"/>
                <w:kern w:val="0"/>
                <w:sz w:val="20"/>
                <w:szCs w:val="20"/>
              </w:rPr>
            </w:pPr>
            <w:r>
              <w:rPr>
                <w:rFonts w:hint="eastAsia" w:ascii="宋体" w:hAnsi="宋体" w:cs="Arial"/>
                <w:kern w:val="0"/>
                <w:sz w:val="20"/>
                <w:szCs w:val="20"/>
              </w:rPr>
              <w:t>填报部门</w:t>
            </w:r>
            <w:r>
              <w:rPr>
                <w:rFonts w:ascii="Default" w:hAnsi="Default" w:cs="Arial"/>
                <w:kern w:val="0"/>
                <w:sz w:val="20"/>
                <w:szCs w:val="20"/>
              </w:rPr>
              <w:t>:</w:t>
            </w:r>
            <w:r>
              <w:rPr>
                <w:rFonts w:hint="eastAsia" w:ascii="宋体" w:hAnsi="宋体" w:cs="Arial"/>
                <w:kern w:val="0"/>
                <w:sz w:val="20"/>
                <w:szCs w:val="20"/>
              </w:rPr>
              <w:t>三工片区管委会</w:t>
            </w:r>
          </w:p>
        </w:tc>
        <w:tc>
          <w:tcPr>
            <w:tcW w:w="117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1"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990" w:type="dxa"/>
            <w:gridSpan w:val="4"/>
            <w:tcBorders>
              <w:top w:val="nil"/>
              <w:left w:val="nil"/>
              <w:bottom w:val="single" w:color="000000" w:sz="4" w:space="0"/>
              <w:right w:val="nil"/>
            </w:tcBorders>
            <w:shd w:val="clear" w:color="000000" w:fill="FFFFFF"/>
          </w:tcPr>
          <w:p>
            <w:pPr>
              <w:widowControl/>
              <w:jc w:val="left"/>
              <w:rPr>
                <w:rFonts w:ascii="宋体" w:hAnsi="宋体" w:cs="Arial"/>
                <w:kern w:val="0"/>
                <w:sz w:val="20"/>
                <w:szCs w:val="20"/>
              </w:rPr>
            </w:pPr>
            <w:r>
              <w:rPr>
                <w:rFonts w:hint="eastAsia" w:ascii="宋体" w:hAnsi="宋体"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1773"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类</w:t>
            </w:r>
          </w:p>
        </w:tc>
        <w:tc>
          <w:tcPr>
            <w:tcW w:w="1175"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预算单位</w:t>
            </w:r>
          </w:p>
        </w:tc>
        <w:tc>
          <w:tcPr>
            <w:tcW w:w="117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总计</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一般公共预算拨款</w:t>
            </w:r>
          </w:p>
        </w:tc>
        <w:tc>
          <w:tcPr>
            <w:tcW w:w="511"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政府性基金预算</w:t>
            </w:r>
          </w:p>
        </w:tc>
        <w:tc>
          <w:tcPr>
            <w:tcW w:w="55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教育收费(财政专户)</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事业收入</w:t>
            </w:r>
          </w:p>
        </w:tc>
        <w:tc>
          <w:tcPr>
            <w:tcW w:w="458" w:type="dxa"/>
            <w:vMerge w:val="restart"/>
            <w:tcBorders>
              <w:top w:val="nil"/>
              <w:left w:val="nil"/>
              <w:bottom w:val="single" w:color="000000" w:sz="4" w:space="0"/>
              <w:right w:val="single" w:color="000000" w:sz="4" w:space="0"/>
            </w:tcBorders>
            <w:shd w:val="clear" w:color="000000" w:fill="FFFFFF"/>
            <w:vAlign w:val="center"/>
          </w:tcPr>
          <w:p>
            <w:pPr>
              <w:widowControl/>
              <w:jc w:val="left"/>
              <w:rPr>
                <w:rFonts w:ascii="Default" w:hAnsi="Default" w:cs="Arial"/>
                <w:b/>
                <w:kern w:val="0"/>
                <w:sz w:val="20"/>
                <w:szCs w:val="20"/>
              </w:rPr>
            </w:pPr>
            <w:r>
              <w:rPr>
                <w:rFonts w:ascii="Default" w:hAnsi="Default" w:cs="Arial"/>
                <w:b/>
                <w:kern w:val="0"/>
                <w:sz w:val="20"/>
                <w:szCs w:val="20"/>
              </w:rPr>
              <w:t>事业单位经营收入</w:t>
            </w:r>
          </w:p>
        </w:tc>
        <w:tc>
          <w:tcPr>
            <w:tcW w:w="52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其他收入</w:t>
            </w:r>
          </w:p>
        </w:tc>
        <w:tc>
          <w:tcPr>
            <w:tcW w:w="471"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用事业基金弥补收支差额</w:t>
            </w:r>
          </w:p>
        </w:tc>
        <w:tc>
          <w:tcPr>
            <w:tcW w:w="53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财政拨款结转结余(小计)</w:t>
            </w:r>
          </w:p>
        </w:tc>
      </w:tr>
      <w:tr>
        <w:tblPrEx>
          <w:tblLayout w:type="fixed"/>
          <w:tblCellMar>
            <w:top w:w="0" w:type="dxa"/>
            <w:left w:w="108" w:type="dxa"/>
            <w:bottom w:w="0" w:type="dxa"/>
            <w:right w:w="108" w:type="dxa"/>
          </w:tblCellMar>
        </w:tblPrEx>
        <w:trPr>
          <w:trHeight w:val="1755" w:hRule="atLeast"/>
        </w:trPr>
        <w:tc>
          <w:tcPr>
            <w:tcW w:w="61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类</w:t>
            </w:r>
          </w:p>
        </w:tc>
        <w:tc>
          <w:tcPr>
            <w:tcW w:w="697"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款</w:t>
            </w:r>
          </w:p>
        </w:tc>
        <w:tc>
          <w:tcPr>
            <w:tcW w:w="457"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b/>
                <w:kern w:val="0"/>
                <w:sz w:val="20"/>
                <w:szCs w:val="20"/>
              </w:rPr>
            </w:pPr>
            <w:r>
              <w:rPr>
                <w:rFonts w:ascii="Default" w:hAnsi="Default" w:cs="Arial"/>
                <w:b/>
                <w:kern w:val="0"/>
                <w:sz w:val="20"/>
                <w:szCs w:val="20"/>
              </w:rPr>
              <w:t>项</w:t>
            </w:r>
          </w:p>
        </w:tc>
        <w:tc>
          <w:tcPr>
            <w:tcW w:w="1175" w:type="dxa"/>
            <w:vMerge w:val="continue"/>
            <w:tcBorders>
              <w:top w:val="nil"/>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177"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11"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52"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58" w:type="dxa"/>
            <w:vMerge w:val="continue"/>
            <w:tcBorders>
              <w:top w:val="nil"/>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24" w:type="dxa"/>
            <w:vMerge w:val="continue"/>
            <w:tcBorders>
              <w:top w:val="nil"/>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71" w:type="dxa"/>
            <w:vMerge w:val="continue"/>
            <w:tcBorders>
              <w:top w:val="nil"/>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37" w:type="dxa"/>
            <w:vMerge w:val="continue"/>
            <w:tcBorders>
              <w:top w:val="nil"/>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三工（其它公共安全支出）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1,788.91</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三工（基层政权和社区建设）</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民政管理事务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02</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08</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基层政权和社区建设</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781.50</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三工(计划生育事务）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181.04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181.04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210</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卫生健康支出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07</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其他计划生育事务支出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14.14</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29.16</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29.16</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29.16</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29.16</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29.16</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29.16</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三工（政府办公厅及相关机构事务）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1,936.47</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1,936.47</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148.53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148.53</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148.53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148.53</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148.53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148.53</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277.02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277.02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277.02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277.02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277.02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277.02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1,510.92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1,510.92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政府办公厅（室）及相关机构事务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1,510.92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1,510.92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102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其他政府办公厅（室）及相关机构事务支出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1,410.92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1,410.92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19"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51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5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71"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bl>
    <w:p>
      <w:pPr>
        <w:widowControl/>
        <w:jc w:val="left"/>
        <w:rPr>
          <w:rFonts w:ascii="仿宋_GB2312" w:hAnsi="宋体" w:eastAsia="仿宋_GB2312"/>
          <w:b/>
          <w:kern w:val="0"/>
          <w:sz w:val="32"/>
          <w:szCs w:val="32"/>
        </w:rPr>
      </w:pPr>
      <w:r>
        <w:rPr>
          <w:rFonts w:hint="eastAsia" w:ascii="仿宋_GB2312" w:hAnsi="宋体" w:eastAsia="仿宋_GB2312"/>
          <w:b/>
          <w:kern w:val="0"/>
          <w:sz w:val="32"/>
          <w:szCs w:val="32"/>
        </w:rPr>
        <w:t>备注：无内容应公开空表并说明情况。</w:t>
      </w:r>
    </w:p>
    <w:p>
      <w:pPr>
        <w:widowControl/>
        <w:jc w:val="left"/>
        <w:rPr>
          <w:rFonts w:ascii="仿宋_GB2312" w:hAnsi="宋体" w:eastAsia="仿宋_GB2312"/>
          <w:b/>
          <w:kern w:val="0"/>
          <w:sz w:val="32"/>
          <w:szCs w:val="32"/>
        </w:rPr>
      </w:pPr>
    </w:p>
    <w:tbl>
      <w:tblPr>
        <w:tblStyle w:val="7"/>
        <w:tblW w:w="8522" w:type="dxa"/>
        <w:tblInd w:w="0" w:type="dxa"/>
        <w:tblLayout w:type="fixed"/>
        <w:tblCellMar>
          <w:top w:w="0" w:type="dxa"/>
          <w:left w:w="108" w:type="dxa"/>
          <w:bottom w:w="0" w:type="dxa"/>
          <w:right w:w="108" w:type="dxa"/>
        </w:tblCellMar>
      </w:tblPr>
      <w:tblGrid>
        <w:gridCol w:w="713"/>
        <w:gridCol w:w="540"/>
        <w:gridCol w:w="542"/>
        <w:gridCol w:w="3053"/>
        <w:gridCol w:w="1225"/>
        <w:gridCol w:w="1225"/>
        <w:gridCol w:w="1224"/>
      </w:tblGrid>
      <w:tr>
        <w:tblPrEx>
          <w:tblLayout w:type="fixed"/>
          <w:tblCellMar>
            <w:top w:w="0" w:type="dxa"/>
            <w:left w:w="108" w:type="dxa"/>
            <w:bottom w:w="0" w:type="dxa"/>
            <w:right w:w="108" w:type="dxa"/>
          </w:tblCellMar>
        </w:tblPrEx>
        <w:trPr>
          <w:trHeight w:val="345" w:hRule="atLeast"/>
        </w:trPr>
        <w:tc>
          <w:tcPr>
            <w:tcW w:w="8522" w:type="dxa"/>
            <w:gridSpan w:val="7"/>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表三：</w:t>
            </w:r>
          </w:p>
        </w:tc>
      </w:tr>
      <w:tr>
        <w:tblPrEx>
          <w:tblLayout w:type="fixed"/>
          <w:tblCellMar>
            <w:top w:w="0" w:type="dxa"/>
            <w:left w:w="108" w:type="dxa"/>
            <w:bottom w:w="0" w:type="dxa"/>
            <w:right w:w="108" w:type="dxa"/>
          </w:tblCellMar>
        </w:tblPrEx>
        <w:trPr>
          <w:trHeight w:val="480" w:hRule="atLeast"/>
        </w:trPr>
        <w:tc>
          <w:tcPr>
            <w:tcW w:w="8522" w:type="dxa"/>
            <w:gridSpan w:val="7"/>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部门支出总体情况表</w:t>
            </w:r>
          </w:p>
        </w:tc>
      </w:tr>
      <w:tr>
        <w:tblPrEx>
          <w:tblLayout w:type="fixed"/>
          <w:tblCellMar>
            <w:top w:w="0" w:type="dxa"/>
            <w:left w:w="108" w:type="dxa"/>
            <w:bottom w:w="0" w:type="dxa"/>
            <w:right w:w="108" w:type="dxa"/>
          </w:tblCellMar>
        </w:tblPrEx>
        <w:trPr>
          <w:trHeight w:val="345" w:hRule="atLeast"/>
        </w:trPr>
        <w:tc>
          <w:tcPr>
            <w:tcW w:w="1795"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w:t>
            </w:r>
            <w:r>
              <w:rPr>
                <w:rFonts w:hint="eastAsia" w:cs="宋体" w:asciiTheme="minorEastAsia" w:hAnsiTheme="minorEastAsia" w:eastAsiaTheme="minorEastAsia"/>
                <w:sz w:val="20"/>
                <w:szCs w:val="20"/>
              </w:rPr>
              <w:t>高新区（新市区）三工片区管委会</w:t>
            </w:r>
          </w:p>
        </w:tc>
        <w:tc>
          <w:tcPr>
            <w:tcW w:w="3053"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2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2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24"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848" w:type="dxa"/>
            <w:gridSpan w:val="4"/>
            <w:tcBorders>
              <w:top w:val="single" w:color="000000" w:sz="4" w:space="0"/>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3674" w:type="dxa"/>
            <w:gridSpan w:val="3"/>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支出预算</w:t>
            </w:r>
          </w:p>
        </w:tc>
      </w:tr>
      <w:tr>
        <w:tblPrEx>
          <w:tblLayout w:type="fixed"/>
          <w:tblCellMar>
            <w:top w:w="0" w:type="dxa"/>
            <w:left w:w="108" w:type="dxa"/>
            <w:bottom w:w="0" w:type="dxa"/>
            <w:right w:w="108" w:type="dxa"/>
          </w:tblCellMar>
        </w:tblPrEx>
        <w:trPr>
          <w:trHeight w:val="624" w:hRule="atLeast"/>
        </w:trPr>
        <w:tc>
          <w:tcPr>
            <w:tcW w:w="1795" w:type="dxa"/>
            <w:gridSpan w:val="3"/>
            <w:vMerge w:val="restart"/>
            <w:tcBorders>
              <w:top w:val="single" w:color="000000" w:sz="4" w:space="0"/>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功能分类科目编码</w:t>
            </w:r>
          </w:p>
        </w:tc>
        <w:tc>
          <w:tcPr>
            <w:tcW w:w="3053"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功能分类科目名称</w:t>
            </w:r>
          </w:p>
        </w:tc>
        <w:tc>
          <w:tcPr>
            <w:tcW w:w="1225"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合  计</w:t>
            </w:r>
          </w:p>
        </w:tc>
        <w:tc>
          <w:tcPr>
            <w:tcW w:w="1225"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基本支出</w:t>
            </w:r>
          </w:p>
        </w:tc>
        <w:tc>
          <w:tcPr>
            <w:tcW w:w="1224"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w:t>
            </w:r>
          </w:p>
        </w:tc>
      </w:tr>
      <w:tr>
        <w:tblPrEx>
          <w:tblLayout w:type="fixed"/>
          <w:tblCellMar>
            <w:top w:w="0" w:type="dxa"/>
            <w:left w:w="108" w:type="dxa"/>
            <w:bottom w:w="0" w:type="dxa"/>
            <w:right w:w="108" w:type="dxa"/>
          </w:tblCellMar>
        </w:tblPrEx>
        <w:trPr>
          <w:trHeight w:val="624" w:hRule="atLeast"/>
        </w:trPr>
        <w:tc>
          <w:tcPr>
            <w:tcW w:w="17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3053"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540" w:hRule="atLeast"/>
        </w:trPr>
        <w:tc>
          <w:tcPr>
            <w:tcW w:w="713" w:type="dxa"/>
            <w:tcBorders>
              <w:top w:val="nil"/>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540"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542"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3053"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总计:</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4,687.92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2,019.67</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2,668.25</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三工（政府办公厅及相关机构事务）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1,936.47</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1,836.47</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一般公共服务支出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1,510.92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政府办公厅（室）及相关机构事务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1,510.92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行政运行</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其他政府办公厅（室）及相关机构事务支出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社会保障和就业支出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行政事业单位离退休</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机关事业单位基本养老保险缴费支出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三工(计划生育事务）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181.04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181.04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社会保障和就业支出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行政事业单位离退休</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机关事业单位基本养老保险缴费支出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210</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医疗卫生与计划生育支出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210</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计划生育事务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210</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其他计划生育事务支出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三工（基层政权和社区建设）</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社会保障和就业支出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02</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民政管理事务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02</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基层政权和社区建设</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三工（其它公共安全支出）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bl>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8522" w:type="dxa"/>
        <w:tblInd w:w="0" w:type="dxa"/>
        <w:tblLayout w:type="fixed"/>
        <w:tblCellMar>
          <w:top w:w="0" w:type="dxa"/>
          <w:left w:w="108" w:type="dxa"/>
          <w:bottom w:w="0" w:type="dxa"/>
          <w:right w:w="108" w:type="dxa"/>
        </w:tblCellMar>
      </w:tblPr>
      <w:tblGrid>
        <w:gridCol w:w="93"/>
        <w:gridCol w:w="1364"/>
        <w:gridCol w:w="392"/>
        <w:gridCol w:w="733"/>
        <w:gridCol w:w="258"/>
        <w:gridCol w:w="1988"/>
        <w:gridCol w:w="686"/>
        <w:gridCol w:w="439"/>
        <w:gridCol w:w="641"/>
        <w:gridCol w:w="723"/>
        <w:gridCol w:w="377"/>
        <w:gridCol w:w="619"/>
        <w:gridCol w:w="209"/>
      </w:tblGrid>
      <w:tr>
        <w:tblPrEx>
          <w:tblLayout w:type="fixed"/>
          <w:tblCellMar>
            <w:top w:w="0" w:type="dxa"/>
            <w:left w:w="108" w:type="dxa"/>
            <w:bottom w:w="0" w:type="dxa"/>
            <w:right w:w="108" w:type="dxa"/>
          </w:tblCellMar>
        </w:tblPrEx>
        <w:trPr>
          <w:trHeight w:val="345" w:hRule="atLeast"/>
        </w:trPr>
        <w:tc>
          <w:tcPr>
            <w:tcW w:w="1457" w:type="dxa"/>
            <w:gridSpan w:val="2"/>
            <w:tcBorders>
              <w:top w:val="nil"/>
              <w:left w:val="nil"/>
              <w:bottom w:val="nil"/>
              <w:right w:val="nil"/>
            </w:tcBorders>
            <w:shd w:val="clear" w:color="000000" w:fill="FFFFFF"/>
            <w:vAlign w:val="center"/>
          </w:tcPr>
          <w:p>
            <w:pPr>
              <w:widowControl/>
              <w:jc w:val="left"/>
              <w:rPr>
                <w:rFonts w:hint="eastAsia" w:ascii="Default" w:hAnsi="Default" w:cs="Arial"/>
                <w:b/>
                <w:bCs/>
                <w:kern w:val="0"/>
                <w:sz w:val="24"/>
              </w:rPr>
            </w:pPr>
            <w:r>
              <w:rPr>
                <w:rFonts w:ascii="Default" w:hAnsi="Default" w:cs="Arial"/>
                <w:b/>
                <w:bCs/>
                <w:kern w:val="0"/>
                <w:sz w:val="24"/>
              </w:rPr>
              <w:t>表四：</w:t>
            </w:r>
          </w:p>
        </w:tc>
        <w:tc>
          <w:tcPr>
            <w:tcW w:w="1125"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24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5"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64"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05"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8522" w:type="dxa"/>
            <w:gridSpan w:val="13"/>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8522" w:type="dxa"/>
            <w:gridSpan w:val="13"/>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4828" w:type="dxa"/>
            <w:gridSpan w:val="6"/>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编制部门：</w:t>
            </w:r>
            <w:r>
              <w:rPr>
                <w:rFonts w:hint="eastAsia" w:cs="宋体" w:asciiTheme="minorEastAsia" w:hAnsiTheme="minorEastAsia" w:eastAsiaTheme="minorEastAsia"/>
                <w:sz w:val="20"/>
                <w:szCs w:val="20"/>
              </w:rPr>
              <w:t>高新区（新市区）三工片区管委会</w:t>
            </w:r>
          </w:p>
        </w:tc>
        <w:tc>
          <w:tcPr>
            <w:tcW w:w="1125"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569" w:type="dxa"/>
            <w:gridSpan w:val="5"/>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gridBefore w:val="1"/>
          <w:gridAfter w:val="1"/>
          <w:wBefore w:w="93" w:type="dxa"/>
          <w:wAfter w:w="209" w:type="dxa"/>
          <w:trHeight w:val="345" w:hRule="atLeast"/>
        </w:trPr>
        <w:tc>
          <w:tcPr>
            <w:tcW w:w="2747" w:type="dxa"/>
            <w:gridSpan w:val="4"/>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财政拨款收入</w:t>
            </w:r>
          </w:p>
        </w:tc>
        <w:tc>
          <w:tcPr>
            <w:tcW w:w="5473" w:type="dxa"/>
            <w:gridSpan w:val="7"/>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财政拨款支出</w:t>
            </w:r>
          </w:p>
        </w:tc>
      </w:tr>
      <w:tr>
        <w:tblPrEx>
          <w:tblLayout w:type="fixed"/>
          <w:tblCellMar>
            <w:top w:w="0" w:type="dxa"/>
            <w:left w:w="108" w:type="dxa"/>
            <w:bottom w:w="0" w:type="dxa"/>
            <w:right w:w="108" w:type="dxa"/>
          </w:tblCellMar>
        </w:tblPrEx>
        <w:trPr>
          <w:gridBefore w:val="1"/>
          <w:gridAfter w:val="1"/>
          <w:wBefore w:w="93" w:type="dxa"/>
          <w:wAfter w:w="209" w:type="dxa"/>
          <w:trHeight w:val="765"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项     目</w:t>
            </w:r>
          </w:p>
        </w:tc>
        <w:tc>
          <w:tcPr>
            <w:tcW w:w="991"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合计</w:t>
            </w:r>
          </w:p>
        </w:tc>
        <w:tc>
          <w:tcPr>
            <w:tcW w:w="2674"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功能分类</w:t>
            </w:r>
          </w:p>
        </w:tc>
        <w:tc>
          <w:tcPr>
            <w:tcW w:w="1080"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合计</w:t>
            </w:r>
          </w:p>
        </w:tc>
        <w:tc>
          <w:tcPr>
            <w:tcW w:w="1100" w:type="dxa"/>
            <w:gridSpan w:val="2"/>
            <w:tcBorders>
              <w:top w:val="nil"/>
              <w:left w:val="nil"/>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一般公共预算</w:t>
            </w:r>
          </w:p>
        </w:tc>
        <w:tc>
          <w:tcPr>
            <w:tcW w:w="619"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b/>
                <w:kern w:val="0"/>
                <w:sz w:val="20"/>
                <w:szCs w:val="20"/>
              </w:rPr>
            </w:pPr>
            <w:r>
              <w:rPr>
                <w:rFonts w:ascii="Default" w:hAnsi="Default" w:cs="Arial"/>
                <w:b/>
                <w:kern w:val="0"/>
                <w:sz w:val="20"/>
                <w:szCs w:val="20"/>
              </w:rPr>
              <w:t>政府基金预算</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1,510.92</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1,510.92</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2,095.09</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2,095.09</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944.17</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944.17</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137.74</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gridAfter w:val="1"/>
          <w:wBefore w:w="93" w:type="dxa"/>
          <w:wAfter w:w="209" w:type="dxa"/>
          <w:trHeight w:val="300" w:hRule="atLeast"/>
        </w:trPr>
        <w:tc>
          <w:tcPr>
            <w:tcW w:w="1756" w:type="dxa"/>
            <w:gridSpan w:val="2"/>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991"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2674" w:type="dxa"/>
            <w:gridSpan w:val="2"/>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08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1100" w:type="dxa"/>
            <w:gridSpan w:val="2"/>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4,687.92</w:t>
            </w:r>
          </w:p>
        </w:tc>
        <w:tc>
          <w:tcPr>
            <w:tcW w:w="6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jc w:val="left"/>
        <w:rPr>
          <w:b/>
          <w:sz w:val="18"/>
          <w:szCs w:val="18"/>
        </w:rPr>
      </w:pPr>
      <w:r>
        <w:rPr>
          <w:rFonts w:hint="eastAsia"/>
          <w:b/>
          <w:sz w:val="18"/>
          <w:szCs w:val="18"/>
        </w:rPr>
        <w:t>备注：无内容应公开空表并说明情况。</w:t>
      </w:r>
    </w:p>
    <w:tbl>
      <w:tblPr>
        <w:tblStyle w:val="7"/>
        <w:tblW w:w="8522" w:type="dxa"/>
        <w:tblInd w:w="0" w:type="dxa"/>
        <w:tblLayout w:type="fixed"/>
        <w:tblCellMar>
          <w:top w:w="0" w:type="dxa"/>
          <w:left w:w="108" w:type="dxa"/>
          <w:bottom w:w="0" w:type="dxa"/>
          <w:right w:w="108" w:type="dxa"/>
        </w:tblCellMar>
      </w:tblPr>
      <w:tblGrid>
        <w:gridCol w:w="713"/>
        <w:gridCol w:w="540"/>
        <w:gridCol w:w="542"/>
        <w:gridCol w:w="3053"/>
        <w:gridCol w:w="1225"/>
        <w:gridCol w:w="1225"/>
        <w:gridCol w:w="1224"/>
      </w:tblGrid>
      <w:tr>
        <w:tblPrEx>
          <w:tblLayout w:type="fixed"/>
          <w:tblCellMar>
            <w:top w:w="0" w:type="dxa"/>
            <w:left w:w="108" w:type="dxa"/>
            <w:bottom w:w="0" w:type="dxa"/>
            <w:right w:w="108" w:type="dxa"/>
          </w:tblCellMar>
        </w:tblPrEx>
        <w:trPr>
          <w:trHeight w:val="375" w:hRule="atLeast"/>
        </w:trPr>
        <w:tc>
          <w:tcPr>
            <w:tcW w:w="8522" w:type="dxa"/>
            <w:gridSpan w:val="7"/>
            <w:tcBorders>
              <w:top w:val="nil"/>
              <w:left w:val="nil"/>
              <w:bottom w:val="nil"/>
              <w:right w:val="nil"/>
            </w:tcBorders>
            <w:shd w:val="clear" w:color="000000" w:fill="FFFFFF"/>
            <w:vAlign w:val="bottom"/>
          </w:tcPr>
          <w:p>
            <w:pPr>
              <w:widowControl/>
              <w:jc w:val="left"/>
              <w:rPr>
                <w:rFonts w:hint="eastAsia" w:ascii="Default" w:hAnsi="Default" w:cs="Arial"/>
                <w:b/>
                <w:bCs/>
                <w:kern w:val="0"/>
                <w:sz w:val="26"/>
                <w:szCs w:val="26"/>
              </w:rPr>
            </w:pPr>
            <w:r>
              <w:rPr>
                <w:rFonts w:ascii="Default" w:hAnsi="Default" w:cs="Arial"/>
                <w:b/>
                <w:bCs/>
                <w:kern w:val="0"/>
                <w:sz w:val="26"/>
                <w:szCs w:val="26"/>
              </w:rPr>
              <w:t>表五：</w:t>
            </w:r>
          </w:p>
        </w:tc>
      </w:tr>
      <w:tr>
        <w:tblPrEx>
          <w:tblLayout w:type="fixed"/>
          <w:tblCellMar>
            <w:top w:w="0" w:type="dxa"/>
            <w:left w:w="108" w:type="dxa"/>
            <w:bottom w:w="0" w:type="dxa"/>
            <w:right w:w="108" w:type="dxa"/>
          </w:tblCellMar>
        </w:tblPrEx>
        <w:trPr>
          <w:trHeight w:val="720" w:hRule="atLeast"/>
        </w:trPr>
        <w:tc>
          <w:tcPr>
            <w:tcW w:w="8522" w:type="dxa"/>
            <w:gridSpan w:val="7"/>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一般公共预算支出情况表</w:t>
            </w:r>
          </w:p>
        </w:tc>
      </w:tr>
      <w:tr>
        <w:tblPrEx>
          <w:tblLayout w:type="fixed"/>
          <w:tblCellMar>
            <w:top w:w="0" w:type="dxa"/>
            <w:left w:w="108" w:type="dxa"/>
            <w:bottom w:w="0" w:type="dxa"/>
            <w:right w:w="108" w:type="dxa"/>
          </w:tblCellMar>
        </w:tblPrEx>
        <w:trPr>
          <w:trHeight w:val="345" w:hRule="atLeast"/>
        </w:trPr>
        <w:tc>
          <w:tcPr>
            <w:tcW w:w="1795"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w:t>
            </w:r>
            <w:r>
              <w:rPr>
                <w:rFonts w:hint="eastAsia" w:cs="宋体" w:asciiTheme="minorEastAsia" w:hAnsiTheme="minorEastAsia" w:eastAsiaTheme="minorEastAsia"/>
                <w:sz w:val="20"/>
                <w:szCs w:val="20"/>
              </w:rPr>
              <w:t>高新区（新市区）三工片区管委会</w:t>
            </w:r>
          </w:p>
        </w:tc>
        <w:tc>
          <w:tcPr>
            <w:tcW w:w="3053"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2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2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24"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848" w:type="dxa"/>
            <w:gridSpan w:val="4"/>
            <w:tcBorders>
              <w:top w:val="single" w:color="000000" w:sz="4" w:space="0"/>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3674" w:type="dxa"/>
            <w:gridSpan w:val="3"/>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一般公共预算支出</w:t>
            </w:r>
          </w:p>
        </w:tc>
      </w:tr>
      <w:tr>
        <w:tblPrEx>
          <w:tblLayout w:type="fixed"/>
          <w:tblCellMar>
            <w:top w:w="0" w:type="dxa"/>
            <w:left w:w="108" w:type="dxa"/>
            <w:bottom w:w="0" w:type="dxa"/>
            <w:right w:w="108" w:type="dxa"/>
          </w:tblCellMar>
        </w:tblPrEx>
        <w:trPr>
          <w:trHeight w:val="345" w:hRule="atLeast"/>
        </w:trPr>
        <w:tc>
          <w:tcPr>
            <w:tcW w:w="1795" w:type="dxa"/>
            <w:gridSpan w:val="3"/>
            <w:tcBorders>
              <w:top w:val="nil"/>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功能分类科目编码</w:t>
            </w:r>
          </w:p>
        </w:tc>
        <w:tc>
          <w:tcPr>
            <w:tcW w:w="3053"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功能分类科目名称</w:t>
            </w:r>
          </w:p>
        </w:tc>
        <w:tc>
          <w:tcPr>
            <w:tcW w:w="1225"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1225"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基本支出</w:t>
            </w:r>
          </w:p>
        </w:tc>
        <w:tc>
          <w:tcPr>
            <w:tcW w:w="1224"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540"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542"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3053"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c>
          <w:tcPr>
            <w:tcW w:w="1225"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c>
          <w:tcPr>
            <w:tcW w:w="1225"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总计:</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4,687.92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2,019.67</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2,668.25</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三工（政府办公厅及相关机构事务）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1,936.47</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1,836.47</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一般公共服务支出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1,510.92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政府办公厅（室）及相关机构事务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1,510.92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行政运行</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1,410.92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其他政府办公厅（室）及相关机构事务支出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100.00</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社会保障和就业支出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行政事业单位离退休</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机关事业单位基本养老保险缴费支出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三工(计划生育事务）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181.04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181.04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社会保障和就业支出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行政事业单位离退休</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机关事业单位基本养老保险缴费支出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210</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医疗卫生与计划生育支出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210</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计划生育事务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210</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其他计划生育事务支出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137.74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三工（基层政权和社区建设）</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社会保障和就业支出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02</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民政管理事务</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208</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02</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基层政权和社区建设</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781.50</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779.34</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三工（其它公共安全支出）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r>
        <w:tblPrEx>
          <w:tblLayout w:type="fixed"/>
          <w:tblCellMar>
            <w:top w:w="0" w:type="dxa"/>
            <w:left w:w="108" w:type="dxa"/>
            <w:bottom w:w="0" w:type="dxa"/>
            <w:right w:w="108" w:type="dxa"/>
          </w:tblCellMar>
        </w:tblPrEx>
        <w:trPr>
          <w:trHeight w:val="345" w:hRule="atLeast"/>
        </w:trPr>
        <w:tc>
          <w:tcPr>
            <w:tcW w:w="7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204</w:t>
            </w:r>
          </w:p>
        </w:tc>
        <w:tc>
          <w:tcPr>
            <w:tcW w:w="54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542"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05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其他公共安全支出</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c>
          <w:tcPr>
            <w:tcW w:w="122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1,788.91</w:t>
            </w:r>
          </w:p>
        </w:tc>
      </w:tr>
    </w:tbl>
    <w:p>
      <w:pPr>
        <w:widowControl/>
        <w:jc w:val="left"/>
        <w:rPr>
          <w:b/>
          <w:sz w:val="18"/>
          <w:szCs w:val="18"/>
        </w:rPr>
      </w:pPr>
      <w:r>
        <w:rPr>
          <w:rFonts w:hint="eastAsia"/>
          <w:b/>
          <w:sz w:val="18"/>
          <w:szCs w:val="18"/>
        </w:rPr>
        <w:t>备注：无内容应公开空表并说明情况。</w:t>
      </w:r>
    </w:p>
    <w:p>
      <w:pPr>
        <w:widowControl/>
        <w:jc w:val="left"/>
        <w:rPr>
          <w:sz w:val="18"/>
          <w:szCs w:val="18"/>
        </w:rPr>
      </w:pPr>
    </w:p>
    <w:p>
      <w:pPr>
        <w:widowControl/>
        <w:jc w:val="left"/>
        <w:rPr>
          <w:sz w:val="18"/>
          <w:szCs w:val="18"/>
        </w:rPr>
      </w:pPr>
    </w:p>
    <w:tbl>
      <w:tblPr>
        <w:tblStyle w:val="7"/>
        <w:tblW w:w="8522" w:type="dxa"/>
        <w:tblInd w:w="0" w:type="dxa"/>
        <w:tblLayout w:type="fixed"/>
        <w:tblCellMar>
          <w:top w:w="0" w:type="dxa"/>
          <w:left w:w="108" w:type="dxa"/>
          <w:bottom w:w="0" w:type="dxa"/>
          <w:right w:w="108" w:type="dxa"/>
        </w:tblCellMar>
      </w:tblPr>
      <w:tblGrid>
        <w:gridCol w:w="1156"/>
        <w:gridCol w:w="505"/>
        <w:gridCol w:w="3274"/>
        <w:gridCol w:w="1178"/>
        <w:gridCol w:w="1178"/>
        <w:gridCol w:w="1231"/>
      </w:tblGrid>
      <w:tr>
        <w:tblPrEx>
          <w:tblLayout w:type="fixed"/>
          <w:tblCellMar>
            <w:top w:w="0" w:type="dxa"/>
            <w:left w:w="108" w:type="dxa"/>
            <w:bottom w:w="0" w:type="dxa"/>
            <w:right w:w="108" w:type="dxa"/>
          </w:tblCellMar>
        </w:tblPrEx>
        <w:trPr>
          <w:trHeight w:val="345" w:hRule="atLeast"/>
        </w:trPr>
        <w:tc>
          <w:tcPr>
            <w:tcW w:w="1156" w:type="dxa"/>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表六：</w:t>
            </w:r>
          </w:p>
        </w:tc>
        <w:tc>
          <w:tcPr>
            <w:tcW w:w="50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274"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7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7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31"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30" w:hRule="atLeast"/>
        </w:trPr>
        <w:tc>
          <w:tcPr>
            <w:tcW w:w="8522" w:type="dxa"/>
            <w:gridSpan w:val="6"/>
            <w:tcBorders>
              <w:top w:val="nil"/>
              <w:left w:val="nil"/>
              <w:bottom w:val="nil"/>
              <w:right w:val="nil"/>
            </w:tcBorders>
            <w:shd w:val="clear" w:color="000000" w:fill="FFFFFF"/>
            <w:vAlign w:val="center"/>
          </w:tcPr>
          <w:p>
            <w:pPr>
              <w:widowControl/>
              <w:jc w:val="center"/>
              <w:rPr>
                <w:rFonts w:hint="eastAsia" w:ascii="Default" w:hAnsi="Default" w:cs="Arial"/>
                <w:b/>
                <w:bCs/>
                <w:kern w:val="0"/>
                <w:sz w:val="30"/>
                <w:szCs w:val="30"/>
              </w:rPr>
            </w:pPr>
            <w:r>
              <w:rPr>
                <w:rFonts w:ascii="Default" w:hAnsi="Default" w:cs="Arial"/>
                <w:b/>
                <w:bCs/>
                <w:kern w:val="0"/>
                <w:sz w:val="30"/>
                <w:szCs w:val="30"/>
              </w:rPr>
              <w:t>一般公共预算基本支出情况表</w:t>
            </w:r>
          </w:p>
        </w:tc>
      </w:tr>
      <w:tr>
        <w:tblPrEx>
          <w:tblLayout w:type="fixed"/>
          <w:tblCellMar>
            <w:top w:w="0" w:type="dxa"/>
            <w:left w:w="108" w:type="dxa"/>
            <w:bottom w:w="0" w:type="dxa"/>
            <w:right w:w="108" w:type="dxa"/>
          </w:tblCellMar>
        </w:tblPrEx>
        <w:trPr>
          <w:trHeight w:val="345" w:hRule="atLeast"/>
        </w:trPr>
        <w:tc>
          <w:tcPr>
            <w:tcW w:w="115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w:t>
            </w:r>
            <w:r>
              <w:rPr>
                <w:rFonts w:hint="eastAsia" w:cs="宋体" w:asciiTheme="minorEastAsia" w:hAnsiTheme="minorEastAsia" w:eastAsiaTheme="minorEastAsia"/>
                <w:sz w:val="20"/>
                <w:szCs w:val="20"/>
              </w:rPr>
              <w:t>高新区（新市区）三工片区管委会</w:t>
            </w:r>
          </w:p>
        </w:tc>
        <w:tc>
          <w:tcPr>
            <w:tcW w:w="50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274"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7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7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31"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4935" w:type="dxa"/>
            <w:gridSpan w:val="3"/>
            <w:tcBorders>
              <w:top w:val="single" w:color="000000" w:sz="4" w:space="0"/>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3587" w:type="dxa"/>
            <w:gridSpan w:val="3"/>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一般公共预算基本支出</w:t>
            </w:r>
          </w:p>
        </w:tc>
      </w:tr>
      <w:tr>
        <w:tblPrEx>
          <w:tblLayout w:type="fixed"/>
          <w:tblCellMar>
            <w:top w:w="0" w:type="dxa"/>
            <w:left w:w="108" w:type="dxa"/>
            <w:bottom w:w="0" w:type="dxa"/>
            <w:right w:w="108" w:type="dxa"/>
          </w:tblCellMar>
        </w:tblPrEx>
        <w:trPr>
          <w:trHeight w:val="345" w:hRule="atLeast"/>
        </w:trPr>
        <w:tc>
          <w:tcPr>
            <w:tcW w:w="1661" w:type="dxa"/>
            <w:gridSpan w:val="2"/>
            <w:tcBorders>
              <w:top w:val="nil"/>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经济分类科目编码</w:t>
            </w:r>
          </w:p>
        </w:tc>
        <w:tc>
          <w:tcPr>
            <w:tcW w:w="3274"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经济分类科目名称</w:t>
            </w:r>
          </w:p>
        </w:tc>
        <w:tc>
          <w:tcPr>
            <w:tcW w:w="1178"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1178"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人员经费</w:t>
            </w:r>
          </w:p>
        </w:tc>
        <w:tc>
          <w:tcPr>
            <w:tcW w:w="1231"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公用经费</w:t>
            </w:r>
          </w:p>
        </w:tc>
      </w:tr>
      <w:tr>
        <w:tblPrEx>
          <w:tblLayout w:type="fixed"/>
          <w:tblCellMar>
            <w:top w:w="0" w:type="dxa"/>
            <w:left w:w="108" w:type="dxa"/>
            <w:bottom w:w="0" w:type="dxa"/>
            <w:right w:w="108" w:type="dxa"/>
          </w:tblCellMar>
        </w:tblPrEx>
        <w:trPr>
          <w:trHeight w:val="345" w:hRule="atLeast"/>
        </w:trPr>
        <w:tc>
          <w:tcPr>
            <w:tcW w:w="1156" w:type="dxa"/>
            <w:tcBorders>
              <w:top w:val="nil"/>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505"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3274"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c>
          <w:tcPr>
            <w:tcW w:w="1178"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c>
          <w:tcPr>
            <w:tcW w:w="1178"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c>
          <w:tcPr>
            <w:tcW w:w="1231" w:type="dxa"/>
            <w:vMerge w:val="continue"/>
            <w:tcBorders>
              <w:top w:val="nil"/>
              <w:left w:val="nil"/>
              <w:bottom w:val="single" w:color="000000" w:sz="4" w:space="0"/>
              <w:right w:val="single" w:color="000000" w:sz="4" w:space="0"/>
            </w:tcBorders>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总计:</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2,019.67</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1,927.77</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91.90</w:t>
            </w:r>
          </w:p>
        </w:tc>
      </w:tr>
      <w:tr>
        <w:tblPrEx>
          <w:tblLayout w:type="fixed"/>
          <w:tblCellMar>
            <w:top w:w="0" w:type="dxa"/>
            <w:left w:w="108" w:type="dxa"/>
            <w:bottom w:w="0" w:type="dxa"/>
            <w:right w:w="108" w:type="dxa"/>
          </w:tblCellMar>
        </w:tblPrEx>
        <w:trPr>
          <w:trHeight w:val="9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053001001-三工（政府办公厅及相关机构事务）</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1,836.47</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1,751.87</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84.60</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工资福利支出</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1,474.85</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1,474.85</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基本工资</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326.38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326.38</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02</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津贴补贴</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186.61</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186.61</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奖金</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211.22</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211.22</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绩效工资</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347.19</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347.19</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机关事业单位基本养老保险缴费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148.53</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职工基本医疗保险缴费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66.84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66.84</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公务员医疗补助缴费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14.85</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12</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其他社会保障缴费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12.98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12.98</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住房公积金</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160.25</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160.25</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商品和服务支出</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84.60</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84.60</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办公费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9.43</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9.43</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5.08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5.08</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06</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电费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6.71</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6.71</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邮电费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3.08</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取暖费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4.28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4.28</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差旅费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7.18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7.18</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维修(护)费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0.34</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16</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培训费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11.05</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11.05</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专用材料费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0.54</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工会经费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9.68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9.68</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福利费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22.26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22.26</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公务用车运行维护费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4.54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4.54</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其他商品和服务支出</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0.43</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0.43</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303</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对个人和家庭的补助</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303</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其他对个人和家庭的补助</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277.02</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053001002-三工(计划生育事务）</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181.04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173.74</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7.30</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工资福利支出</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144.58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144.58</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基本工资</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29.31</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29.31</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02</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津贴补贴</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14.50</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14.50</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奖金</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21.87</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21.87</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绩效工资</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39.68</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39.68</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机关事业单位基本养老保险缴费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14.14</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职工基本医疗保险缴费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6.36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6.36</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公务员医疗补助缴费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1.41</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12</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其他社会保障缴费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1.34</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301</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住房公积金</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15.97</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15.97</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商品和服务支出</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7.30</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7.30</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办公费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0.99</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0.99</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水费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0.54</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06</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电费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0.71</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0.71</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邮电费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0.33</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0.33</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11</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差旅费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0.76</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13</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维修(护)费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0.04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0.04</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16</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培训费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1.06</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专用材料费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0.06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0.06</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28</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工会经费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0.84</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0.84</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福利费</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1.92</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1.92</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302</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其他商品和服务支出</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0.05</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0.05</w:t>
            </w: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303</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对个人和家庭的补助</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303</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其他对个人和家庭的补助</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29.16</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053001003-三工（基层政权和社区建设）</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303</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对个人和家庭的补助</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115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303</w:t>
            </w:r>
          </w:p>
        </w:tc>
        <w:tc>
          <w:tcPr>
            <w:tcW w:w="50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99</w:t>
            </w:r>
          </w:p>
        </w:tc>
        <w:tc>
          <w:tcPr>
            <w:tcW w:w="327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其他对个人和家庭的补助</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17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2.16</w:t>
            </w:r>
          </w:p>
        </w:tc>
        <w:tc>
          <w:tcPr>
            <w:tcW w:w="12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p>
        </w:tc>
      </w:tr>
    </w:tbl>
    <w:p>
      <w:pPr>
        <w:widowControl/>
        <w:outlineLvl w:val="1"/>
        <w:rPr>
          <w:rFonts w:ascii="仿宋_GB2312" w:hAnsi="宋体" w:eastAsia="仿宋_GB2312"/>
          <w:b/>
          <w:kern w:val="0"/>
          <w:sz w:val="16"/>
          <w:szCs w:val="16"/>
        </w:rPr>
      </w:pPr>
      <w:r>
        <w:rPr>
          <w:rFonts w:hint="eastAsia" w:ascii="仿宋_GB2312" w:hAnsi="宋体" w:eastAsia="仿宋_GB2312"/>
          <w:b/>
          <w:kern w:val="0"/>
          <w:sz w:val="16"/>
          <w:szCs w:val="16"/>
        </w:rPr>
        <w:t>备注：无内容应公开空表并说明情况。</w:t>
      </w:r>
    </w:p>
    <w:p>
      <w:pPr>
        <w:widowControl/>
        <w:spacing w:before="156" w:beforeLines="50"/>
        <w:outlineLvl w:val="1"/>
        <w:rPr>
          <w:rFonts w:ascii="仿宋_GB2312" w:hAnsi="宋体" w:eastAsia="仿宋_GB2312"/>
          <w:b/>
          <w:kern w:val="0"/>
          <w:sz w:val="32"/>
          <w:szCs w:val="32"/>
        </w:rPr>
      </w:pPr>
      <w:r>
        <w:rPr>
          <w:rFonts w:ascii="仿宋_GB2312" w:hAnsi="宋体" w:eastAsia="仿宋_GB2312"/>
          <w:b/>
          <w:kern w:val="0"/>
          <w:sz w:val="32"/>
          <w:szCs w:val="32"/>
        </w:rPr>
        <w:drawing>
          <wp:inline distT="0" distB="0" distL="0" distR="0">
            <wp:extent cx="5394960" cy="7429500"/>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5" cstate="print"/>
                    <a:srcRect/>
                    <a:stretch>
                      <a:fillRect/>
                    </a:stretch>
                  </pic:blipFill>
                  <pic:spPr>
                    <a:xfrm>
                      <a:off x="0" y="0"/>
                      <a:ext cx="5395144" cy="7429500"/>
                    </a:xfrm>
                    <a:prstGeom prst="rect">
                      <a:avLst/>
                    </a:prstGeom>
                    <a:noFill/>
                    <a:ln w="9525">
                      <a:noFill/>
                      <a:miter lim="800000"/>
                      <a:headEnd/>
                      <a:tailEnd/>
                    </a:ln>
                  </pic:spPr>
                </pic:pic>
              </a:graphicData>
            </a:graphic>
          </wp:inline>
        </w:drawing>
      </w: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备注：无内容应公开空表并说明情况。</w:t>
      </w:r>
    </w:p>
    <w:p>
      <w:pPr>
        <w:widowControl/>
        <w:spacing w:before="156" w:beforeLines="50"/>
        <w:jc w:val="center"/>
        <w:outlineLvl w:val="1"/>
        <w:rPr>
          <w:rFonts w:ascii="黑体" w:hAnsi="黑体" w:eastAsia="黑体"/>
          <w:kern w:val="0"/>
          <w:sz w:val="32"/>
          <w:szCs w:val="32"/>
        </w:rPr>
      </w:pPr>
    </w:p>
    <w:tbl>
      <w:tblPr>
        <w:tblStyle w:val="7"/>
        <w:tblW w:w="8522" w:type="dxa"/>
        <w:tblInd w:w="0" w:type="dxa"/>
        <w:tblLayout w:type="fixed"/>
        <w:tblCellMar>
          <w:top w:w="0" w:type="dxa"/>
          <w:left w:w="108" w:type="dxa"/>
          <w:bottom w:w="0" w:type="dxa"/>
          <w:right w:w="108" w:type="dxa"/>
        </w:tblCellMar>
      </w:tblPr>
      <w:tblGrid>
        <w:gridCol w:w="1235"/>
        <w:gridCol w:w="2049"/>
        <w:gridCol w:w="716"/>
        <w:gridCol w:w="1643"/>
        <w:gridCol w:w="1643"/>
        <w:gridCol w:w="1236"/>
      </w:tblGrid>
      <w:tr>
        <w:tblPrEx>
          <w:tblLayout w:type="fixed"/>
          <w:tblCellMar>
            <w:top w:w="0" w:type="dxa"/>
            <w:left w:w="108" w:type="dxa"/>
            <w:bottom w:w="0" w:type="dxa"/>
            <w:right w:w="108" w:type="dxa"/>
          </w:tblCellMar>
        </w:tblPrEx>
        <w:trPr>
          <w:trHeight w:val="345" w:hRule="atLeast"/>
        </w:trPr>
        <w:tc>
          <w:tcPr>
            <w:tcW w:w="8522" w:type="dxa"/>
            <w:gridSpan w:val="6"/>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表八：</w:t>
            </w:r>
          </w:p>
        </w:tc>
      </w:tr>
      <w:tr>
        <w:tblPrEx>
          <w:tblLayout w:type="fixed"/>
          <w:tblCellMar>
            <w:top w:w="0" w:type="dxa"/>
            <w:left w:w="108" w:type="dxa"/>
            <w:bottom w:w="0" w:type="dxa"/>
            <w:right w:w="108" w:type="dxa"/>
          </w:tblCellMar>
        </w:tblPrEx>
        <w:trPr>
          <w:trHeight w:val="780" w:hRule="atLeast"/>
        </w:trPr>
        <w:tc>
          <w:tcPr>
            <w:tcW w:w="8522" w:type="dxa"/>
            <w:gridSpan w:val="6"/>
            <w:tcBorders>
              <w:top w:val="nil"/>
              <w:left w:val="nil"/>
              <w:bottom w:val="nil"/>
              <w:right w:val="nil"/>
            </w:tcBorders>
            <w:shd w:val="clear" w:color="000000" w:fill="FFFFFF"/>
            <w:vAlign w:val="center"/>
          </w:tcPr>
          <w:p>
            <w:pPr>
              <w:widowControl/>
              <w:jc w:val="center"/>
              <w:rPr>
                <w:rFonts w:hint="eastAsia" w:ascii="Default" w:hAnsi="Default" w:cs="Arial"/>
                <w:b/>
                <w:bCs/>
                <w:kern w:val="0"/>
                <w:sz w:val="32"/>
                <w:szCs w:val="32"/>
              </w:rPr>
            </w:pPr>
            <w:r>
              <w:rPr>
                <w:rFonts w:ascii="Default" w:hAnsi="Default" w:cs="Arial"/>
                <w:b/>
                <w:bCs/>
                <w:kern w:val="0"/>
                <w:sz w:val="32"/>
                <w:szCs w:val="32"/>
              </w:rPr>
              <w:t>一般公共预算“三公”经费支出情况表</w:t>
            </w:r>
          </w:p>
        </w:tc>
      </w:tr>
      <w:tr>
        <w:tblPrEx>
          <w:tblLayout w:type="fixed"/>
          <w:tblCellMar>
            <w:top w:w="0" w:type="dxa"/>
            <w:left w:w="108" w:type="dxa"/>
            <w:bottom w:w="0" w:type="dxa"/>
            <w:right w:w="108" w:type="dxa"/>
          </w:tblCellMar>
        </w:tblPrEx>
        <w:trPr>
          <w:trHeight w:val="345" w:hRule="atLeast"/>
        </w:trPr>
        <w:tc>
          <w:tcPr>
            <w:tcW w:w="123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编制单位：</w:t>
            </w:r>
            <w:r>
              <w:rPr>
                <w:rFonts w:hint="eastAsia" w:cs="宋体" w:asciiTheme="minorEastAsia" w:hAnsiTheme="minorEastAsia" w:eastAsiaTheme="minorEastAsia"/>
                <w:sz w:val="20"/>
                <w:szCs w:val="20"/>
              </w:rPr>
              <w:t>高新区（新市区）三工片区管委会</w:t>
            </w:r>
          </w:p>
        </w:tc>
        <w:tc>
          <w:tcPr>
            <w:tcW w:w="2049"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3"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3"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23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1235" w:type="dxa"/>
            <w:vMerge w:val="restart"/>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合   计</w:t>
            </w:r>
          </w:p>
        </w:tc>
        <w:tc>
          <w:tcPr>
            <w:tcW w:w="2049" w:type="dxa"/>
            <w:vMerge w:val="restart"/>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因公出国（境）费用</w:t>
            </w:r>
          </w:p>
        </w:tc>
        <w:tc>
          <w:tcPr>
            <w:tcW w:w="4002" w:type="dxa"/>
            <w:gridSpan w:val="3"/>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公务用车购置及运行费</w:t>
            </w:r>
          </w:p>
        </w:tc>
        <w:tc>
          <w:tcPr>
            <w:tcW w:w="1236" w:type="dxa"/>
            <w:vMerge w:val="restart"/>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公务接待费</w:t>
            </w:r>
          </w:p>
        </w:tc>
      </w:tr>
      <w:tr>
        <w:tblPrEx>
          <w:tblLayout w:type="fixed"/>
          <w:tblCellMar>
            <w:top w:w="0" w:type="dxa"/>
            <w:left w:w="108" w:type="dxa"/>
            <w:bottom w:w="0" w:type="dxa"/>
            <w:right w:w="108" w:type="dxa"/>
          </w:tblCellMar>
        </w:tblPrEx>
        <w:trPr>
          <w:trHeight w:val="900" w:hRule="atLeast"/>
        </w:trPr>
        <w:tc>
          <w:tcPr>
            <w:tcW w:w="1235"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2049"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716"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1643"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公务用车购置费</w:t>
            </w:r>
          </w:p>
        </w:tc>
        <w:tc>
          <w:tcPr>
            <w:tcW w:w="1643"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公务用车运行费</w:t>
            </w:r>
          </w:p>
        </w:tc>
        <w:tc>
          <w:tcPr>
            <w:tcW w:w="123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12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20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164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4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123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12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20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164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4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123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1235"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04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3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spacing w:before="156" w:beforeLines="50"/>
        <w:jc w:val="left"/>
        <w:outlineLvl w:val="1"/>
        <w:rPr>
          <w:rFonts w:ascii="黑体" w:hAnsi="黑体" w:eastAsia="黑体"/>
          <w:kern w:val="0"/>
          <w:sz w:val="32"/>
          <w:szCs w:val="32"/>
        </w:rPr>
      </w:pPr>
      <w:r>
        <w:rPr>
          <w:rFonts w:hint="eastAsia" w:ascii="黑体" w:hAnsi="黑体" w:eastAsia="黑体"/>
          <w:kern w:val="0"/>
          <w:sz w:val="32"/>
          <w:szCs w:val="32"/>
        </w:rPr>
        <w:t>备注：无内容应公开空表并说明情况。</w:t>
      </w:r>
    </w:p>
    <w:tbl>
      <w:tblPr>
        <w:tblStyle w:val="7"/>
        <w:tblW w:w="8522" w:type="dxa"/>
        <w:tblInd w:w="0" w:type="dxa"/>
        <w:tblLayout w:type="fixed"/>
        <w:tblCellMar>
          <w:top w:w="0" w:type="dxa"/>
          <w:left w:w="108" w:type="dxa"/>
          <w:bottom w:w="0" w:type="dxa"/>
          <w:right w:w="108" w:type="dxa"/>
        </w:tblCellMar>
      </w:tblPr>
      <w:tblGrid>
        <w:gridCol w:w="788"/>
        <w:gridCol w:w="786"/>
        <w:gridCol w:w="787"/>
        <w:gridCol w:w="2086"/>
        <w:gridCol w:w="1300"/>
        <w:gridCol w:w="1476"/>
        <w:gridCol w:w="1299"/>
      </w:tblGrid>
      <w:tr>
        <w:tblPrEx>
          <w:tblLayout w:type="fixed"/>
          <w:tblCellMar>
            <w:top w:w="0" w:type="dxa"/>
            <w:left w:w="108" w:type="dxa"/>
            <w:bottom w:w="0" w:type="dxa"/>
            <w:right w:w="108" w:type="dxa"/>
          </w:tblCellMar>
        </w:tblPrEx>
        <w:trPr>
          <w:trHeight w:val="345" w:hRule="atLeast"/>
        </w:trPr>
        <w:tc>
          <w:tcPr>
            <w:tcW w:w="8522" w:type="dxa"/>
            <w:gridSpan w:val="7"/>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表九：</w:t>
            </w:r>
          </w:p>
        </w:tc>
      </w:tr>
      <w:tr>
        <w:tblPrEx>
          <w:tblLayout w:type="fixed"/>
          <w:tblCellMar>
            <w:top w:w="0" w:type="dxa"/>
            <w:left w:w="108" w:type="dxa"/>
            <w:bottom w:w="0" w:type="dxa"/>
            <w:right w:w="108" w:type="dxa"/>
          </w:tblCellMar>
        </w:tblPrEx>
        <w:trPr>
          <w:trHeight w:val="630" w:hRule="atLeast"/>
        </w:trPr>
        <w:tc>
          <w:tcPr>
            <w:tcW w:w="8522" w:type="dxa"/>
            <w:gridSpan w:val="7"/>
            <w:tcBorders>
              <w:top w:val="nil"/>
              <w:left w:val="nil"/>
              <w:bottom w:val="nil"/>
              <w:right w:val="nil"/>
            </w:tcBorders>
            <w:shd w:val="clear" w:color="000000" w:fill="FFFFFF"/>
            <w:vAlign w:val="center"/>
          </w:tcPr>
          <w:p>
            <w:pPr>
              <w:widowControl/>
              <w:jc w:val="center"/>
              <w:rPr>
                <w:rFonts w:hint="eastAsia" w:ascii="Default" w:hAnsi="Default" w:cs="Arial"/>
                <w:b/>
                <w:bCs/>
                <w:kern w:val="0"/>
                <w:sz w:val="32"/>
                <w:szCs w:val="32"/>
              </w:rPr>
            </w:pPr>
            <w:r>
              <w:rPr>
                <w:rFonts w:ascii="Default" w:hAnsi="Default" w:cs="Arial"/>
                <w:b/>
                <w:bCs/>
                <w:kern w:val="0"/>
                <w:sz w:val="32"/>
                <w:szCs w:val="32"/>
              </w:rPr>
              <w:t>政府性基金预算支出情况表</w:t>
            </w:r>
          </w:p>
        </w:tc>
      </w:tr>
      <w:tr>
        <w:tblPrEx>
          <w:tblLayout w:type="fixed"/>
          <w:tblCellMar>
            <w:top w:w="0" w:type="dxa"/>
            <w:left w:w="108" w:type="dxa"/>
            <w:bottom w:w="0" w:type="dxa"/>
            <w:right w:w="108" w:type="dxa"/>
          </w:tblCellMar>
        </w:tblPrEx>
        <w:trPr>
          <w:trHeight w:val="345" w:hRule="atLeast"/>
        </w:trPr>
        <w:tc>
          <w:tcPr>
            <w:tcW w:w="2361"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编制单位：</w:t>
            </w:r>
            <w:r>
              <w:rPr>
                <w:rFonts w:hint="eastAsia" w:cs="宋体" w:asciiTheme="minorEastAsia" w:hAnsiTheme="minorEastAsia" w:eastAsiaTheme="minorEastAsia"/>
                <w:sz w:val="20"/>
                <w:szCs w:val="20"/>
              </w:rPr>
              <w:t>高新区（新市区）三工片区管委会</w:t>
            </w:r>
          </w:p>
        </w:tc>
        <w:tc>
          <w:tcPr>
            <w:tcW w:w="208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7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99"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435" w:hRule="atLeast"/>
        </w:trPr>
        <w:tc>
          <w:tcPr>
            <w:tcW w:w="4447" w:type="dxa"/>
            <w:gridSpan w:val="4"/>
            <w:tcBorders>
              <w:top w:val="single" w:color="000000" w:sz="4" w:space="0"/>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4075" w:type="dxa"/>
            <w:gridSpan w:val="3"/>
            <w:tcBorders>
              <w:top w:val="single" w:color="000000" w:sz="4" w:space="0"/>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政府性基金预算支出</w:t>
            </w:r>
          </w:p>
        </w:tc>
      </w:tr>
      <w:tr>
        <w:tblPrEx>
          <w:tblLayout w:type="fixed"/>
          <w:tblCellMar>
            <w:top w:w="0" w:type="dxa"/>
            <w:left w:w="108" w:type="dxa"/>
            <w:bottom w:w="0" w:type="dxa"/>
            <w:right w:w="108" w:type="dxa"/>
          </w:tblCellMar>
        </w:tblPrEx>
        <w:trPr>
          <w:trHeight w:val="624" w:hRule="atLeast"/>
        </w:trPr>
        <w:tc>
          <w:tcPr>
            <w:tcW w:w="2361" w:type="dxa"/>
            <w:gridSpan w:val="3"/>
            <w:vMerge w:val="restart"/>
            <w:tcBorders>
              <w:top w:val="single" w:color="000000" w:sz="4" w:space="0"/>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功能分类科目编码</w:t>
            </w:r>
          </w:p>
        </w:tc>
        <w:tc>
          <w:tcPr>
            <w:tcW w:w="2086"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功能分类科目名称</w:t>
            </w:r>
          </w:p>
        </w:tc>
        <w:tc>
          <w:tcPr>
            <w:tcW w:w="1300"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小  计</w:t>
            </w:r>
          </w:p>
        </w:tc>
        <w:tc>
          <w:tcPr>
            <w:tcW w:w="1476"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基本支出</w:t>
            </w:r>
          </w:p>
        </w:tc>
        <w:tc>
          <w:tcPr>
            <w:tcW w:w="1299" w:type="dxa"/>
            <w:vMerge w:val="restart"/>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项目支出</w:t>
            </w:r>
          </w:p>
        </w:tc>
      </w:tr>
      <w:tr>
        <w:tblPrEx>
          <w:tblLayout w:type="fixed"/>
          <w:tblCellMar>
            <w:top w:w="0" w:type="dxa"/>
            <w:left w:w="108" w:type="dxa"/>
            <w:bottom w:w="0" w:type="dxa"/>
            <w:right w:w="108" w:type="dxa"/>
          </w:tblCellMar>
        </w:tblPrEx>
        <w:trPr>
          <w:trHeight w:val="624"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2086"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300"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476"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99"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480" w:hRule="atLeast"/>
        </w:trPr>
        <w:tc>
          <w:tcPr>
            <w:tcW w:w="788" w:type="dxa"/>
            <w:tcBorders>
              <w:top w:val="nil"/>
              <w:left w:val="single" w:color="000000" w:sz="4" w:space="0"/>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786"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787" w:type="dxa"/>
            <w:tcBorders>
              <w:top w:val="nil"/>
              <w:left w:val="nil"/>
              <w:bottom w:val="single" w:color="000000" w:sz="4" w:space="0"/>
              <w:right w:val="single" w:color="000000" w:sz="4" w:space="0"/>
            </w:tcBorders>
            <w:shd w:val="clear" w:color="000000" w:fill="99CC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2086"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300"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476"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99" w:type="dxa"/>
            <w:vMerge w:val="continue"/>
            <w:tcBorders>
              <w:top w:val="nil"/>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45" w:hRule="atLeast"/>
        </w:trPr>
        <w:tc>
          <w:tcPr>
            <w:tcW w:w="788"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8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8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08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47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29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788"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8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8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08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7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9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spacing w:before="156" w:beforeLines="50"/>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备注：此表为空表，本单位无政府性基金预算支出。</w:t>
      </w:r>
    </w:p>
    <w:p>
      <w:pPr>
        <w:widowControl/>
        <w:spacing w:before="156" w:beforeLines="50"/>
        <w:outlineLvl w:val="1"/>
        <w:rPr>
          <w:rFonts w:ascii="仿宋_GB2312" w:hAnsi="宋体" w:eastAsia="仿宋_GB2312" w:cs="宋体"/>
          <w:kern w:val="0"/>
          <w:sz w:val="32"/>
          <w:szCs w:val="32"/>
        </w:rPr>
      </w:pPr>
    </w:p>
    <w:p>
      <w:pPr>
        <w:widowControl/>
        <w:spacing w:before="156" w:beforeLines="50"/>
        <w:outlineLvl w:val="1"/>
        <w:rPr>
          <w:rFonts w:ascii="仿宋_GB2312" w:hAnsi="宋体" w:eastAsia="仿宋_GB2312" w:cs="宋体"/>
          <w:kern w:val="0"/>
          <w:sz w:val="32"/>
          <w:szCs w:val="32"/>
        </w:rPr>
      </w:pPr>
    </w:p>
    <w:p>
      <w:pPr>
        <w:widowControl/>
        <w:spacing w:before="156" w:beforeLines="50"/>
        <w:outlineLvl w:val="1"/>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关于本部门2019年收支预算情况的总体说明</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按照全口径预算的原则，本部门本年所有收入和支出均纳入部门预算管理。收支总预算4687.92万元。</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收入预算包括：一般公共预算4687.92万元、 政府性基金预算0万元。</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ascii="仿宋_GB2312" w:hAnsi="宋体" w:eastAsia="仿宋_GB2312" w:cs="宋体"/>
          <w:kern w:val="0"/>
          <w:sz w:val="32"/>
          <w:szCs w:val="32"/>
        </w:rPr>
        <w:t>1510.92</w:t>
      </w:r>
      <w:r>
        <w:rPr>
          <w:rFonts w:hint="eastAsia" w:ascii="仿宋_GB2312" w:hAnsi="宋体" w:eastAsia="仿宋_GB2312" w:cs="宋体"/>
          <w:kern w:val="0"/>
          <w:sz w:val="32"/>
          <w:szCs w:val="32"/>
        </w:rPr>
        <w:t>万元、公共安全支出</w:t>
      </w:r>
      <w:r>
        <w:rPr>
          <w:rFonts w:ascii="仿宋_GB2312" w:hAnsi="宋体" w:eastAsia="仿宋_GB2312" w:cs="宋体"/>
          <w:kern w:val="0"/>
          <w:sz w:val="32"/>
          <w:szCs w:val="32"/>
        </w:rPr>
        <w:t>2095.09</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944.17</w:t>
      </w:r>
      <w:r>
        <w:rPr>
          <w:rFonts w:hint="eastAsia" w:ascii="仿宋_GB2312" w:hAnsi="宋体" w:eastAsia="仿宋_GB2312" w:cs="宋体"/>
          <w:kern w:val="0"/>
          <w:sz w:val="32"/>
          <w:szCs w:val="32"/>
        </w:rPr>
        <w:t>万元、医疗卫生与计划生育支出</w:t>
      </w:r>
      <w:r>
        <w:rPr>
          <w:rFonts w:ascii="仿宋_GB2312" w:hAnsi="宋体" w:eastAsia="仿宋_GB2312" w:cs="宋体"/>
          <w:kern w:val="0"/>
          <w:sz w:val="32"/>
          <w:szCs w:val="32"/>
        </w:rPr>
        <w:t>137.74</w:t>
      </w:r>
      <w:r>
        <w:rPr>
          <w:rFonts w:hint="eastAsia" w:ascii="仿宋_GB2312" w:hAnsi="宋体" w:eastAsia="仿宋_GB2312" w:cs="宋体"/>
          <w:kern w:val="0"/>
          <w:sz w:val="32"/>
          <w:szCs w:val="32"/>
        </w:rPr>
        <w:t>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二、关于本部门2019年收入预算情况说明</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本部门收入预算4687.92元，其中：</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一般公共预算4687.92万元，占100%，比上年增加584万元，主要原因是：</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增加经费96.66万元，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增加经费97万元，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减少经费15.6万元，</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组织事务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减少经费25.97万元，</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统战事务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其他统战事务支出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减少经费1万元，</w:t>
      </w:r>
      <w:r>
        <w:rPr>
          <w:rFonts w:ascii="仿宋_GB2312" w:hAnsi="宋体" w:eastAsia="仿宋_GB2312" w:cs="宋体"/>
          <w:kern w:val="0"/>
          <w:sz w:val="32"/>
          <w:szCs w:val="32"/>
        </w:rPr>
        <w:t>公共</w:t>
      </w:r>
      <w:r>
        <w:rPr>
          <w:rFonts w:hint="eastAsia" w:ascii="仿宋_GB2312" w:hAnsi="宋体" w:eastAsia="仿宋_GB2312" w:cs="宋体"/>
          <w:kern w:val="0"/>
          <w:sz w:val="32"/>
          <w:szCs w:val="32"/>
        </w:rPr>
        <w:t>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增加经费644.51万元，社会保障和就业支出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民政管理事务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基层政权和社区建设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减少经费28.7万元，社会保障和就业支出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增加经费7.31万元，社会保障和就业支出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行政事业单位离退休—机关事业单位职业年金缴费支出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减少经费7.52万元，社会保障和就业支出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就业补助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社会保险补贴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减少经费167.48万元，社会保障和就业支出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抚恤</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其他优抚支出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减少经费0.64万元，社会保障和就业支出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社会福利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儿童福利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减少经费1.18万元，社会保障和就业支出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残疾人事业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残疾人生活和护理补贴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减少经费4万元，社会保障和就业支出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残疾人事业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其他残疾人事业支出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减少经费0.36万元，社会保障和就业支出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其他生活救助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其他城市生活救助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减少经费0.45万元，医疗卫生与计划生育支出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计划生育事务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其他计划生育事务支出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减少经费4.58万元，文化体育与传媒支出（类）文化</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其他文化支出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减少经费4万元；</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三、关于本部门单位2019年支出预算情况说明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本部门单位2019年支出预算4687.92元，其中：</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2019.67</w:t>
      </w:r>
      <w:r>
        <w:rPr>
          <w:rFonts w:hint="eastAsia" w:ascii="仿宋_GB2312" w:hAnsi="宋体" w:eastAsia="仿宋_GB2312" w:cs="宋体"/>
          <w:kern w:val="0"/>
          <w:sz w:val="32"/>
          <w:szCs w:val="32"/>
        </w:rPr>
        <w:t>万元，占43.08%，比上年减少1582.39万元，主要原因是：</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减少53.28万元，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减少3万元，</w:t>
      </w:r>
      <w:r>
        <w:rPr>
          <w:rFonts w:ascii="仿宋_GB2312" w:hAnsi="宋体" w:eastAsia="仿宋_GB2312" w:cs="宋体"/>
          <w:kern w:val="0"/>
          <w:sz w:val="32"/>
          <w:szCs w:val="32"/>
        </w:rPr>
        <w:t>公共</w:t>
      </w:r>
      <w:r>
        <w:rPr>
          <w:rFonts w:hint="eastAsia" w:ascii="仿宋_GB2312" w:hAnsi="宋体" w:eastAsia="仿宋_GB2312" w:cs="宋体"/>
          <w:kern w:val="0"/>
          <w:sz w:val="32"/>
          <w:szCs w:val="32"/>
        </w:rPr>
        <w:t>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减少1104.11万元，社会保障和就业支出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民政管理事务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基层政权和社区建设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减少249.72万元，社会保障和就业支出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增加7.31万元，社会保障和就业支出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行政事业单位离退休—机关事业单位职业年金缴费支出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减少7.52万元，社会保障和就业支出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就业补助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社会保险补贴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减少167.48万元，医疗卫生与计划生育支出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计划生育事务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其他计划生育事务支出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减少4.58万元。</w:t>
      </w:r>
    </w:p>
    <w:p>
      <w:pPr>
        <w:widowControl/>
        <w:spacing w:line="58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2668.25</w:t>
      </w:r>
      <w:r>
        <w:rPr>
          <w:rFonts w:hint="eastAsia" w:ascii="仿宋_GB2312" w:hAnsi="宋体" w:eastAsia="仿宋_GB2312" w:cs="宋体"/>
          <w:kern w:val="0"/>
          <w:sz w:val="32"/>
          <w:szCs w:val="32"/>
        </w:rPr>
        <w:t>万元，占56.92%，比上年增加1881.81</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增加100万元，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减少15.6万元，</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组织事务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减少25.97万元，</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统战事务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其他统战事务支出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减少1万元，</w:t>
      </w:r>
      <w:r>
        <w:rPr>
          <w:rFonts w:ascii="仿宋_GB2312" w:hAnsi="宋体" w:eastAsia="仿宋_GB2312" w:cs="宋体"/>
          <w:kern w:val="0"/>
          <w:sz w:val="32"/>
          <w:szCs w:val="32"/>
        </w:rPr>
        <w:t>公共</w:t>
      </w:r>
      <w:r>
        <w:rPr>
          <w:rFonts w:hint="eastAsia" w:ascii="仿宋_GB2312" w:hAnsi="宋体" w:eastAsia="仿宋_GB2312" w:cs="宋体"/>
          <w:kern w:val="0"/>
          <w:sz w:val="32"/>
          <w:szCs w:val="32"/>
        </w:rPr>
        <w:t>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增加1707.33万元，社会保障和就业支出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民政管理事务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基层政权和社区建设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增加127.56万元，社会保障和就业支出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抚恤</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其他优抚支出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减少0.64万元，社会保障和就业支出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社会福利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儿童福利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减少1.18万元，社会保障和就业支出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残疾人事业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残疾人生活和护理补贴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减少4万元，社会保障和就业支出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残疾人事业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其他残疾人事业支出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减少0.36万元，社会保障和就业支出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其他生活救助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其他城市生活救助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减少0.45万元，文化体育与传媒支出（类）文化</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其他文化支出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减少3.88万元。</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四、关于本部门2019年财政拨款收支预算情况的总体说明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2019年财政拨款收支总预算4687.92万元。</w:t>
      </w:r>
    </w:p>
    <w:p>
      <w:pPr>
        <w:spacing w:line="58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五、关于本部门2019年一般公共预算当年拨款情况说明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本部门本年一般公共预算拨款基本支出</w:t>
      </w:r>
      <w:r>
        <w:rPr>
          <w:rFonts w:ascii="仿宋_GB2312" w:hAnsi="宋体" w:eastAsia="仿宋_GB2312" w:cs="宋体"/>
          <w:kern w:val="0"/>
          <w:sz w:val="32"/>
          <w:szCs w:val="32"/>
        </w:rPr>
        <w:t>2019.67</w:t>
      </w:r>
      <w:r>
        <w:rPr>
          <w:rFonts w:hint="eastAsia" w:ascii="仿宋_GB2312" w:hAnsi="宋体" w:eastAsia="仿宋_GB2312" w:cs="宋体"/>
          <w:kern w:val="0"/>
          <w:sz w:val="32"/>
          <w:szCs w:val="32"/>
        </w:rPr>
        <w:t>万元，比上年执行数减少1582.39万元，减少43.93%。主要原因是：</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减少53.28万元，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减少3万元，</w:t>
      </w:r>
      <w:r>
        <w:rPr>
          <w:rFonts w:ascii="仿宋_GB2312" w:hAnsi="宋体" w:eastAsia="仿宋_GB2312" w:cs="宋体"/>
          <w:kern w:val="0"/>
          <w:sz w:val="32"/>
          <w:szCs w:val="32"/>
        </w:rPr>
        <w:t>公共</w:t>
      </w:r>
      <w:r>
        <w:rPr>
          <w:rFonts w:hint="eastAsia" w:ascii="仿宋_GB2312" w:hAnsi="宋体" w:eastAsia="仿宋_GB2312" w:cs="宋体"/>
          <w:kern w:val="0"/>
          <w:sz w:val="32"/>
          <w:szCs w:val="32"/>
        </w:rPr>
        <w:t>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减少1104.11万元，社会保障和就业支出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民政管理事务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基层政权和社区建设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减少249.72万元，社会保障和就业支出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增加7.31万元，社会保障和就业支出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行政事业单位离退休—机关事业单位职业年金缴费支出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减少7.52万元，社会保障和就业支出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就业补助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社会保险补贴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减少167.48万元，医疗卫生与计划生育支出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计划生育事务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其他计划生育事务支出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 xml:space="preserve">减少4.58万元。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w:t>
      </w:r>
      <w:r>
        <w:rPr>
          <w:rFonts w:ascii="仿宋_GB2312" w:eastAsia="仿宋_GB2312"/>
          <w:sz w:val="32"/>
          <w:szCs w:val="32"/>
        </w:rPr>
        <w:t>1510.92</w:t>
      </w:r>
      <w:r>
        <w:rPr>
          <w:rFonts w:hint="eastAsia" w:ascii="仿宋_GB2312" w:hAnsi="宋体" w:eastAsia="仿宋_GB2312" w:cs="宋体"/>
          <w:kern w:val="0"/>
          <w:sz w:val="32"/>
          <w:szCs w:val="32"/>
        </w:rPr>
        <w:t>万元，占32.23%。</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w:t>
      </w:r>
      <w:r>
        <w:rPr>
          <w:rFonts w:ascii="仿宋_GB2312" w:hAnsi="宋体" w:eastAsia="仿宋_GB2312" w:cs="宋体"/>
          <w:kern w:val="0"/>
          <w:sz w:val="32"/>
          <w:szCs w:val="32"/>
        </w:rPr>
        <w:t>2095.09</w:t>
      </w:r>
      <w:r>
        <w:rPr>
          <w:rFonts w:hint="eastAsia" w:ascii="仿宋_GB2312" w:hAnsi="宋体" w:eastAsia="仿宋_GB2312" w:cs="宋体"/>
          <w:kern w:val="0"/>
          <w:sz w:val="32"/>
          <w:szCs w:val="32"/>
        </w:rPr>
        <w:t>万元，占44.69%。</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w:t>
      </w:r>
      <w:r>
        <w:rPr>
          <w:rFonts w:ascii="仿宋_GB2312" w:hAnsi="宋体" w:eastAsia="仿宋_GB2312" w:cs="宋体"/>
          <w:kern w:val="0"/>
          <w:sz w:val="32"/>
          <w:szCs w:val="32"/>
        </w:rPr>
        <w:t>944.17</w:t>
      </w:r>
      <w:r>
        <w:rPr>
          <w:rFonts w:hint="eastAsia" w:ascii="仿宋_GB2312" w:hAnsi="宋体" w:eastAsia="仿宋_GB2312" w:cs="宋体"/>
          <w:kern w:val="0"/>
          <w:sz w:val="32"/>
          <w:szCs w:val="32"/>
        </w:rPr>
        <w:t>万元，占20.14%。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w:t>
      </w:r>
      <w:r>
        <w:rPr>
          <w:rFonts w:ascii="仿宋_GB2312" w:hAnsi="宋体" w:eastAsia="仿宋_GB2312" w:cs="宋体"/>
          <w:kern w:val="0"/>
          <w:sz w:val="32"/>
          <w:szCs w:val="32"/>
        </w:rPr>
        <w:t>137.74</w:t>
      </w:r>
      <w:r>
        <w:rPr>
          <w:rFonts w:hint="eastAsia" w:ascii="仿宋_GB2312" w:hAnsi="宋体" w:eastAsia="仿宋_GB2312" w:cs="宋体"/>
          <w:kern w:val="0"/>
          <w:sz w:val="32"/>
          <w:szCs w:val="32"/>
        </w:rPr>
        <w:t>万元，占2.94%。</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1.</w:t>
      </w:r>
      <w:r>
        <w:rPr>
          <w:rFonts w:hint="eastAsia" w:ascii="仿宋_GB2312" w:eastAsia="仿宋_GB2312"/>
          <w:sz w:val="32"/>
          <w:szCs w:val="32"/>
        </w:rPr>
        <w:t xml:space="preserve"> 一般公共服务（类）</w:t>
      </w:r>
      <w:r>
        <w:rPr>
          <w:rFonts w:hint="eastAsia" w:ascii="仿宋_GB2312" w:hAnsi="宋体" w:eastAsia="仿宋_GB2312" w:cs="宋体"/>
          <w:sz w:val="32"/>
          <w:szCs w:val="32"/>
        </w:rPr>
        <w:t>:本年预算数为</w:t>
      </w:r>
      <w:r>
        <w:rPr>
          <w:rFonts w:ascii="仿宋_GB2312" w:hAnsi="宋体" w:eastAsia="仿宋_GB2312" w:cs="宋体"/>
          <w:sz w:val="32"/>
          <w:szCs w:val="32"/>
        </w:rPr>
        <w:t>1510.92</w:t>
      </w:r>
      <w:r>
        <w:rPr>
          <w:rFonts w:hint="eastAsia" w:ascii="仿宋_GB2312" w:hAnsi="宋体" w:eastAsia="仿宋_GB2312" w:cs="宋体"/>
          <w:sz w:val="32"/>
          <w:szCs w:val="32"/>
        </w:rPr>
        <w:t>万元，比上年执行数增加1.15万元，增长0.08%，主要原因是：</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基本支出减少56.28万元、项目支出增加57.43万元，其中</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基本支出减少53.28万元，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基本支出减少3万元、项目支出增加100万元，</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项目支出减少15.6万元，</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组织事务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项目支出减少25.97万元，</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统战事务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其他统战事务支出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项目支出减少1万元</w:t>
      </w:r>
      <w:r>
        <w:rPr>
          <w:rFonts w:hint="eastAsia" w:ascii="仿宋_GB2312" w:hAnsi="宋体" w:eastAsia="仿宋_GB2312" w:cs="宋体"/>
          <w:sz w:val="32"/>
          <w:szCs w:val="32"/>
        </w:rPr>
        <w:t>。</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kern w:val="0"/>
          <w:sz w:val="32"/>
          <w:szCs w:val="32"/>
        </w:rPr>
        <w:t>公共</w:t>
      </w:r>
      <w:r>
        <w:rPr>
          <w:rFonts w:hint="eastAsia" w:ascii="仿宋_GB2312" w:hAnsi="宋体" w:eastAsia="仿宋_GB2312" w:cs="宋体"/>
          <w:kern w:val="0"/>
          <w:sz w:val="32"/>
          <w:szCs w:val="32"/>
        </w:rPr>
        <w:t>安全支出</w:t>
      </w:r>
      <w:r>
        <w:rPr>
          <w:rFonts w:ascii="仿宋_GB2312" w:hAnsi="宋体" w:eastAsia="仿宋_GB2312" w:cs="宋体"/>
          <w:kern w:val="0"/>
          <w:sz w:val="32"/>
          <w:szCs w:val="32"/>
        </w:rPr>
        <w:t>（类）</w:t>
      </w:r>
      <w:r>
        <w:rPr>
          <w:rFonts w:hint="eastAsia" w:ascii="仿宋_GB2312" w:hAnsi="宋体" w:eastAsia="仿宋_GB2312" w:cs="宋体"/>
          <w:sz w:val="32"/>
          <w:szCs w:val="32"/>
        </w:rPr>
        <w:t>:本年预算数为</w:t>
      </w:r>
      <w:r>
        <w:rPr>
          <w:rFonts w:ascii="仿宋_GB2312" w:hAnsi="宋体" w:eastAsia="仿宋_GB2312" w:cs="宋体"/>
          <w:kern w:val="0"/>
          <w:sz w:val="32"/>
          <w:szCs w:val="32"/>
        </w:rPr>
        <w:t>2095.09</w:t>
      </w:r>
      <w:r>
        <w:rPr>
          <w:rFonts w:hint="eastAsia" w:ascii="仿宋_GB2312" w:hAnsi="宋体" w:eastAsia="仿宋_GB2312" w:cs="宋体"/>
          <w:sz w:val="32"/>
          <w:szCs w:val="32"/>
        </w:rPr>
        <w:t>万元，比上年执行数增加603.21万元，增长40.43%，主要原因是</w:t>
      </w:r>
      <w:r>
        <w:rPr>
          <w:rFonts w:ascii="仿宋_GB2312" w:hAnsi="宋体" w:eastAsia="仿宋_GB2312" w:cs="宋体"/>
          <w:kern w:val="0"/>
          <w:sz w:val="32"/>
          <w:szCs w:val="32"/>
        </w:rPr>
        <w:t>公共</w:t>
      </w:r>
      <w:r>
        <w:rPr>
          <w:rFonts w:hint="eastAsia" w:ascii="仿宋_GB2312" w:hAnsi="宋体" w:eastAsia="仿宋_GB2312" w:cs="宋体"/>
          <w:kern w:val="0"/>
          <w:sz w:val="32"/>
          <w:szCs w:val="32"/>
        </w:rPr>
        <w:t>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其他公共安全支出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基本支出减少1104.11万元、项目支出增加1707.33万元。</w:t>
      </w:r>
    </w:p>
    <w:p>
      <w:pPr>
        <w:widowControl/>
        <w:spacing w:line="580" w:lineRule="exact"/>
        <w:ind w:firstLine="640"/>
        <w:rPr>
          <w:rFonts w:ascii="仿宋_GB2312" w:hAnsi="宋体" w:eastAsia="仿宋_GB2312" w:cs="宋体"/>
          <w:b/>
          <w:kern w:val="0"/>
          <w:sz w:val="32"/>
          <w:szCs w:val="32"/>
        </w:rPr>
      </w:pPr>
      <w:r>
        <w:rPr>
          <w:rFonts w:hint="eastAsia" w:ascii="仿宋_GB2312" w:hAnsi="宋体" w:eastAsia="仿宋_GB2312" w:cs="宋体"/>
          <w:sz w:val="32"/>
          <w:szCs w:val="32"/>
        </w:rPr>
        <w:t>3.</w:t>
      </w:r>
      <w:r>
        <w:rPr>
          <w:rFonts w:hint="eastAsia" w:ascii="仿宋_GB2312" w:hAnsi="宋体" w:eastAsia="仿宋_GB2312" w:cs="宋体"/>
          <w:kern w:val="0"/>
          <w:sz w:val="32"/>
          <w:szCs w:val="32"/>
        </w:rPr>
        <w:t xml:space="preserve"> 社会保障和就业支出</w:t>
      </w:r>
      <w:r>
        <w:rPr>
          <w:rFonts w:ascii="仿宋_GB2312" w:hAnsi="宋体" w:eastAsia="仿宋_GB2312" w:cs="宋体"/>
          <w:kern w:val="0"/>
          <w:sz w:val="32"/>
          <w:szCs w:val="32"/>
        </w:rPr>
        <w:t>（类）</w:t>
      </w:r>
      <w:r>
        <w:rPr>
          <w:rFonts w:hint="eastAsia" w:ascii="仿宋_GB2312" w:hAnsi="宋体" w:eastAsia="仿宋_GB2312" w:cs="宋体"/>
          <w:sz w:val="32"/>
          <w:szCs w:val="32"/>
        </w:rPr>
        <w:t>：本年预算数为</w:t>
      </w:r>
      <w:r>
        <w:rPr>
          <w:rFonts w:ascii="仿宋_GB2312" w:hAnsi="宋体" w:eastAsia="仿宋_GB2312" w:cs="宋体"/>
          <w:sz w:val="32"/>
          <w:szCs w:val="32"/>
        </w:rPr>
        <w:t>944.17</w:t>
      </w:r>
      <w:r>
        <w:rPr>
          <w:rFonts w:hint="eastAsia" w:ascii="仿宋_GB2312" w:hAnsi="宋体" w:eastAsia="仿宋_GB2312" w:cs="宋体"/>
          <w:sz w:val="32"/>
          <w:szCs w:val="32"/>
        </w:rPr>
        <w:t>万元，比上年执行数减少296.48万元，减少23.90%，主要原因是：</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基本支出减少417.41万元，项目支出增加120.93万元，其中社会保障和就业支出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民政管理事务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基层政权和社区建设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基本支出减少249.72万元、项目支出增加127.56万元，社会保障和就业支出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基本支出增加7.31万元，社会保障和就业支出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行政事业单位离退休—机关事业单位职业年金缴费支出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基本支出减少7.52万元，社会保障和就业支出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就业补助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社会保险补贴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基本支出减少167.48万元，社会保障和就业支出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抚恤</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其他优抚支出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项目支出减少0.64万元，社会保障和就业支出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社会福利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儿童福利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项目支出减少1.18万元，社会保障和就业支出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残疾人事业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残疾人生活和护理补贴</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减少项目支出4万元，社会保障和就业支出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残疾人事业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其他残疾人事业支出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项目支出减少0.36万元，社会保障和就业支出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其他生活救助</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其他城市生活救助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项目支出减少0.45万元</w:t>
      </w:r>
      <w:r>
        <w:rPr>
          <w:rFonts w:hint="eastAsia" w:ascii="仿宋_GB2312" w:hAnsi="宋体" w:eastAsia="仿宋_GB2312" w:cs="宋体"/>
          <w:sz w:val="32"/>
          <w:szCs w:val="32"/>
        </w:rPr>
        <w:t>。</w:t>
      </w:r>
    </w:p>
    <w:p>
      <w:pPr>
        <w:widowControl/>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kern w:val="0"/>
          <w:sz w:val="32"/>
          <w:szCs w:val="32"/>
        </w:rPr>
        <w:t xml:space="preserve"> 医疗卫生与计划生育支出</w:t>
      </w:r>
      <w:r>
        <w:rPr>
          <w:rFonts w:ascii="仿宋_GB2312" w:hAnsi="宋体" w:eastAsia="仿宋_GB2312" w:cs="宋体"/>
          <w:kern w:val="0"/>
          <w:sz w:val="32"/>
          <w:szCs w:val="32"/>
        </w:rPr>
        <w:t>（类）</w:t>
      </w:r>
      <w:r>
        <w:rPr>
          <w:rFonts w:hint="eastAsia" w:ascii="仿宋_GB2312" w:hAnsi="宋体" w:eastAsia="仿宋_GB2312" w:cs="宋体"/>
          <w:sz w:val="32"/>
          <w:szCs w:val="32"/>
        </w:rPr>
        <w:t>:本年预算数为</w:t>
      </w:r>
      <w:r>
        <w:rPr>
          <w:rFonts w:ascii="仿宋_GB2312" w:hAnsi="宋体" w:eastAsia="仿宋_GB2312" w:cs="宋体"/>
          <w:sz w:val="32"/>
          <w:szCs w:val="32"/>
        </w:rPr>
        <w:t>137.74</w:t>
      </w:r>
      <w:r>
        <w:rPr>
          <w:rFonts w:hint="eastAsia" w:ascii="仿宋_GB2312" w:hAnsi="宋体" w:eastAsia="仿宋_GB2312" w:cs="宋体"/>
          <w:sz w:val="32"/>
          <w:szCs w:val="32"/>
        </w:rPr>
        <w:t>万元，比上年执行数减少4.58万元，减少3.3%，主要原因是：</w:t>
      </w:r>
      <w:r>
        <w:rPr>
          <w:rFonts w:hint="eastAsia" w:ascii="仿宋_GB2312" w:hAnsi="宋体" w:eastAsia="仿宋_GB2312" w:cs="宋体"/>
          <w:kern w:val="0"/>
          <w:sz w:val="32"/>
          <w:szCs w:val="32"/>
        </w:rPr>
        <w:t>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计划生育事务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其他计划生育事务支出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基本支出减少4.58万元</w:t>
      </w:r>
      <w:r>
        <w:rPr>
          <w:rFonts w:hint="eastAsia" w:ascii="仿宋_GB2312" w:hAnsi="宋体" w:eastAsia="仿宋_GB2312" w:cs="宋体"/>
          <w:sz w:val="32"/>
          <w:szCs w:val="32"/>
        </w:rPr>
        <w:t>。</w:t>
      </w:r>
    </w:p>
    <w:p>
      <w:pPr>
        <w:widowControl/>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5.</w:t>
      </w:r>
      <w:r>
        <w:rPr>
          <w:rFonts w:hint="eastAsia" w:ascii="仿宋_GB2312" w:hAnsi="宋体" w:eastAsia="仿宋_GB2312" w:cs="宋体"/>
          <w:kern w:val="0"/>
          <w:sz w:val="32"/>
          <w:szCs w:val="32"/>
        </w:rPr>
        <w:t xml:space="preserve"> 文化体育与传媒支出（类）：</w:t>
      </w:r>
      <w:r>
        <w:rPr>
          <w:rFonts w:hint="eastAsia" w:ascii="仿宋_GB2312" w:hAnsi="宋体" w:eastAsia="仿宋_GB2312" w:cs="宋体"/>
          <w:sz w:val="32"/>
          <w:szCs w:val="32"/>
        </w:rPr>
        <w:t>本年预算数为0万元，比上年执行数减少3.88万元，减少100%，主要原因是：</w:t>
      </w:r>
      <w:r>
        <w:rPr>
          <w:rFonts w:hint="eastAsia" w:ascii="仿宋_GB2312" w:hAnsi="宋体" w:eastAsia="仿宋_GB2312" w:cs="宋体"/>
          <w:kern w:val="0"/>
          <w:sz w:val="32"/>
          <w:szCs w:val="32"/>
        </w:rPr>
        <w:t>文化体育与传媒支出（类）文化</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其他文化支出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项目支出减少3.88万元。</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六、关于本部门2019年一般公共预算基本支出情况说明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本部门本年一般公共预算基本支出</w:t>
      </w:r>
      <w:r>
        <w:rPr>
          <w:rFonts w:ascii="仿宋_GB2312" w:hAnsi="宋体" w:eastAsia="仿宋_GB2312" w:cs="宋体"/>
          <w:kern w:val="0"/>
          <w:sz w:val="32"/>
          <w:szCs w:val="32"/>
        </w:rPr>
        <w:t>2019.67</w:t>
      </w:r>
      <w:r>
        <w:rPr>
          <w:rFonts w:hint="eastAsia" w:ascii="仿宋_GB2312" w:hAnsi="宋体" w:eastAsia="仿宋_GB2312" w:cs="宋体"/>
          <w:kern w:val="0"/>
          <w:sz w:val="32"/>
          <w:szCs w:val="32"/>
        </w:rPr>
        <w:t>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1927.77</w:t>
      </w:r>
      <w:r>
        <w:rPr>
          <w:rFonts w:hint="eastAsia" w:ascii="仿宋_GB2312" w:hAnsi="宋体" w:eastAsia="仿宋_GB2312" w:cs="宋体"/>
          <w:kern w:val="0"/>
          <w:sz w:val="32"/>
          <w:szCs w:val="32"/>
        </w:rPr>
        <w:t>万元，主要包括：基本工资355.69万元、津贴补贴201.11万元、奖金233.09万元、绩效工资386.87万元、机关事业单位基本养老保险缴费162.67万元、职工基本医疗保险缴费73.20万元、公务员医疗补助缴费16.26万元、其他社会保障缴费14.32万元、住房公积金176.22万元、其他对个人和家庭的补助308.34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91.9</w:t>
      </w:r>
      <w:r>
        <w:rPr>
          <w:rFonts w:hint="eastAsia" w:ascii="仿宋_GB2312" w:hAnsi="宋体" w:eastAsia="仿宋_GB2312" w:cs="宋体"/>
          <w:kern w:val="0"/>
          <w:sz w:val="32"/>
          <w:szCs w:val="32"/>
        </w:rPr>
        <w:t>0万元，主要包括：办公费10.42万元、水费5.62万元、电费7.42万元、邮电费3.41万元、取暖费4.28万元、差旅费7.94万元、维修（护）费0.38万元、培训费12.11万元、专用材料费0.60万元、工会经费10.52万元、福利费24.18万元、公务用车运行维护费4.54万元、其他商品和服务支出0.48万元等。</w:t>
      </w:r>
    </w:p>
    <w:p>
      <w:pPr>
        <w:widowControl/>
        <w:numPr>
          <w:ilvl w:val="0"/>
          <w:numId w:val="2"/>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关于本部门2019年项目支出情况说明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1、项目名称：片区工作经费</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预算安排规模：100万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资金分配情况：片区本级工作经费100万。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2、项目名称：社区工作经费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预算安排规模：410万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资金分配情况：一般社区40万/年，重点社区50万/年，全部用于10个社区（1个重点社区）社区工作经费。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3、项目名称：便民警务站餐费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预算安排规模：219.52万；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资金分配情况：全部用于管委会14个便民警务站人员餐费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4、项目名称：便民警务站服装费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预算安排规模：63.02万；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资金分配情况：全部用于管委会14个便民警务站人员服装经费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5、项目名称：便民警务站装备费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预算安排规模：20.82万；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资金分配情况：全部用于管委会14个便民警务站装备经费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6、项目名称：便民警务站运行经费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预算安排规模：94.43万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资金分配情况：便民警务站6.745万元/年/个，全部用于管委会14个便民警务站水费、电费、暖气费、伙食费、车辆经费、其他运行经费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7、项目名称：公岗人员工作经费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预算安排规模：55.81万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资金分配情况：全部用于10个社区区聘及市聘公岗人员，</w:t>
      </w:r>
      <w:r>
        <w:rPr>
          <w:rFonts w:hint="eastAsia" w:ascii="仿宋_GB2312" w:eastAsia="仿宋_GB2312" w:cs="宋体"/>
          <w:kern w:val="0"/>
          <w:sz w:val="32"/>
          <w:szCs w:val="32"/>
        </w:rPr>
        <w:t>区聘公岗75人，市聘公岗119人，</w:t>
      </w:r>
      <w:r>
        <w:rPr>
          <w:rFonts w:hint="eastAsia" w:ascii="仿宋_GB2312" w:hAnsi="宋体" w:eastAsia="仿宋_GB2312" w:cs="宋体"/>
          <w:kern w:val="0"/>
          <w:sz w:val="32"/>
          <w:szCs w:val="32"/>
        </w:rPr>
        <w:t>标准2877元/人/年。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8、项目名称：伙食补助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预算安排规模：150.69万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资金分配情况：全部用于片区及10个社区人员伙食补助，补助人员322人，标准4680元/人/年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9、项目名称：巡逻防控队员工资、社保、管理费（公岗）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预算安排规模：950.71万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eastAsia="仿宋_GB2312" w:cs="宋体"/>
          <w:kern w:val="0"/>
          <w:sz w:val="32"/>
          <w:szCs w:val="32"/>
        </w:rPr>
      </w:pPr>
      <w:r>
        <w:rPr>
          <w:rFonts w:hint="eastAsia" w:ascii="仿宋_GB2312" w:hAnsi="宋体" w:eastAsia="仿宋_GB2312" w:cs="宋体"/>
          <w:kern w:val="0"/>
          <w:sz w:val="32"/>
          <w:szCs w:val="32"/>
        </w:rPr>
        <w:t>资金分配情况：全部用于片区及10个社区人员巡控队员工资、社保、管理费，</w:t>
      </w:r>
      <w:r>
        <w:rPr>
          <w:rFonts w:hint="eastAsia" w:ascii="仿宋_GB2312" w:eastAsia="仿宋_GB2312" w:cs="宋体"/>
          <w:kern w:val="0"/>
          <w:sz w:val="32"/>
          <w:szCs w:val="32"/>
        </w:rPr>
        <w:t>补助人员199人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10、项目名称：包户考核奖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预算安排规模：73.96万元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资金分配情况：用于10个社区工作人员绩效考核奖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补贴人数：管委会社区书记主任20人，一般干部172人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补贴标准：管委会社区书记主任标准：每人500元/月；一般干部标准：每人300元/月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补贴范围：10个社区工作人员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发放程序：业绩考核每季度由管委会测评后由各社区党建专干根据考勤制作发放表，由社区领导、管委会分管财务负责人审核签字，最后交财政所统一打卡。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11、项目名称：基层岗位补贴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预算安排规模：基层岗位补贴43.22万元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资金分配情况：全部用于管委会及10个社区基层干部补助，管委会正职400元/人/月，管委会副职及社区书记、主任200元/人/月，一般干部100元/人/月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补贴人数：管委会正职2人,管委会副职3人,社区书记主任20人,一般干部337人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12、项目名称：楼栋长津贴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预算安排规模：45.66万元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资金分配情况：全部用于10个社区楼栋长人员补助，100元/人/月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补贴人数：381人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补贴标准：100元/人/月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补贴范围：社区楼栋长</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发放程序：各社区分管楼栋长专干统计考勤，由片区民政专干审核按季度发放，最后交财政所统一打卡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13、项目名称：非在编人员人员补助费（巡逻员）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预算安排规模：212.58万元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资金分配情况：全部用于10个社区非在编人员人员补助补助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补贴人数：102人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补贴标准：考核优秀1000元/人/月，考核合格800元/人/月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补贴范围：10个社区非在编人员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发放程序：每月由各社区专干根据考勤制作发放表，上报综治科统审，由社区领导、管委会分管财务负责人审核签字，最后交财政所统一打卡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14、项目名称：非在编人员人员补助费（公岗）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预算安排规模：104.58万元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资金分配情况：全部用于10个社区非在编人员人员补助补助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补贴人数：101人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补贴标准：1500元/人/月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补贴范围：10个社区非在编人员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发放程序：每月由各社区专干根据考勤制作发放表，上报综治科统审，由社区领导、管委会分管财务负责人审核签字，最后交财政所统一打卡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15、项目名称：巡逻员工资</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设立的政策依据：2019年部门预算定额标准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预算安排规模：巡逻员工资123.25万元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项目承担单位：三工片区管委会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资金分配情况：全部用于管委会及10个社区巡逻人员工资、社保金，1800元/人/月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补贴人数：58人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补贴标准：基本工资1520元/月，社保缴费280元/月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补贴范围：管委会及10个社区巡逻人员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发放程序：每月由各社区专干统计考勤，统一交至综治科，由社区领导、管委会分管财务负责人审核签字，最后交财政所统一打卡</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受益人群和社会效益：提高了经济发展的质量和效益，各族群众的获得感幸福感安全感不断增强。</w:t>
      </w:r>
    </w:p>
    <w:p>
      <w:pPr>
        <w:pStyle w:val="6"/>
        <w:shd w:val="clear" w:color="auto" w:fill="FFFFFF"/>
        <w:spacing w:line="315" w:lineRule="atLeast"/>
        <w:ind w:firstLine="420"/>
        <w:rPr>
          <w:rFonts w:ascii="黑体" w:eastAsia="黑体"/>
          <w:sz w:val="32"/>
          <w:szCs w:val="32"/>
        </w:rPr>
      </w:pPr>
      <w:r>
        <w:rPr>
          <w:rFonts w:hint="eastAsia" w:ascii="黑体" w:eastAsia="黑体"/>
          <w:sz w:val="32"/>
          <w:szCs w:val="32"/>
        </w:rPr>
        <w:t>八、关于本部门2019年一般公共预算“三公”经费预算情况说明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本部门本年“三公”经费财政拨款预算数为4.54万元，其中：因公出国（境）费0万元，公务用车购置0万元，公务用车运行费4.54万元，公务接待费0万元。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三公”经费财政拨款预算比上年增加0万元，其中：因公出国（境）费增加0万元，主要原因是未安排预算；公务用车购置费为0，未安排预算。公务用车运行费增加0万元，主要原因是车辆数量及标准未变；公务接待费增加0万元，主要原因是未安排预算。</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九、关于本部门2019年政府性基金预算拨款情况说明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2019年，本单位本级及下属0家行政单位、0家参公管理事业单位和0家事业单位的机关运行经费财政拨款预算91.90万元，比上年预算增加3.83万元，增长4.3%,主要原因是办公经费增加。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sz w:val="32"/>
          <w:szCs w:val="32"/>
        </w:rPr>
        <w:t>本级</w:t>
      </w:r>
      <w:r>
        <w:rPr>
          <w:rFonts w:hint="eastAsia" w:ascii="仿宋_GB2312" w:hAnsi="宋体" w:eastAsia="仿宋_GB2312" w:cs="宋体"/>
          <w:kern w:val="0"/>
          <w:sz w:val="32"/>
          <w:szCs w:val="32"/>
        </w:rPr>
        <w:t>及下属单位政府采购预算200.84万元，其中：政府采购货物预算102.74万元，政府采购工程预算     80万元，政府采购服务预算18.10万元。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截至2018年底，本部门及下属各预算单位占用使用国有资产总体情况为：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1.房屋 2123平方米，价值 240万元。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2.车辆19 辆，价值156万元；其中：一般公务用车1辆，价值6.39 万元；其他车辆18辆，价值149.61万元。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3.办公家具价值97.86万元。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4.其他资产价值1674.50万元。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本部门未购置单位价值50万元以上大型设备及单位价值100万元以上大型设备。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2019年部门预算未安排购置车辆经费、未安排购置50万元以上大型设备及单位价值100万元以上大型设备。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2019年度，本年度实行绩效管理的项目15个，涉及预算金额2668.25万元。具体情况见下表：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7"/>
        <w:tblW w:w="14120" w:type="dxa"/>
        <w:tblInd w:w="93"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中心数量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片区下设6个中心</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科室数量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片区下设2个科室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一般社区</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9个</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重点社区</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1个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48" w:tblpY="108"/>
        <w:tblOverlap w:val="never"/>
        <w:tblW w:w="14120" w:type="dxa"/>
        <w:tblInd w:w="0"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219.52万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219.52万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14个警务站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，持续满足警务站人员需求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63.02万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63.02万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支付形式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财政直接支付</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14个警务站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，持续满足警务站人员需求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94.43万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94.43万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14个警务站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55.81万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55.81万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区聘75人，市聘119人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150.69万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150.69万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干部126人，区聘75人，市聘119人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巡逻防控队员工资</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950.71万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950.71万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包户考核</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73.96万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73.96万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192人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基层岗贴</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43.22万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43.22万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362人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45.66万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45.66万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现金发放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非在编人员人员补助费（巡逻员）</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212.58万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212.58万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102人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非在编人员人员补助费（公岗）</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104.58万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104.58万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123.25万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123.25万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三工片区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ind w:firstLine="720" w:firstLineChars="400"/>
              <w:rPr>
                <w:rFonts w:ascii="宋体" w:hAnsi="宋体" w:cs="宋体"/>
                <w:kern w:val="0"/>
                <w:sz w:val="18"/>
                <w:szCs w:val="18"/>
              </w:rPr>
            </w:pPr>
            <w:r>
              <w:rPr>
                <w:rFonts w:hint="eastAsia" w:ascii="宋体" w:hAnsi="宋体" w:cs="宋体"/>
                <w:kern w:val="0"/>
                <w:sz w:val="18"/>
                <w:szCs w:val="18"/>
              </w:rPr>
              <w:t>20.82万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20.82万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政府采购形式</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14个警务站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tabs>
          <w:tab w:val="center" w:pos="6894"/>
        </w:tabs>
        <w:jc w:val="left"/>
        <w:sectPr>
          <w:pgSz w:w="16838" w:h="11906" w:orient="landscape"/>
          <w:pgMar w:top="1179" w:right="1610" w:bottom="1633"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1920" w:firstLineChars="6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高新区（新市区）三工片区管委会</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fault">
    <w:altName w:val="Courier New"/>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47</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555E7"/>
    <w:multiLevelType w:val="singleLevel"/>
    <w:tmpl w:val="825555E7"/>
    <w:lvl w:ilvl="0" w:tentative="0">
      <w:start w:val="1"/>
      <w:numFmt w:val="chineseCounting"/>
      <w:suff w:val="nothing"/>
      <w:lvlText w:val="%1、"/>
      <w:lvlJc w:val="left"/>
      <w:pPr>
        <w:ind w:left="640" w:firstLine="0"/>
      </w:pPr>
      <w:rPr>
        <w:rFonts w:hint="eastAsia"/>
      </w:rPr>
    </w:lvl>
  </w:abstractNum>
  <w:abstractNum w:abstractNumId="1">
    <w:nsid w:val="7265FF17"/>
    <w:multiLevelType w:val="singleLevel"/>
    <w:tmpl w:val="7265FF1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3146A"/>
    <w:rsid w:val="000413A4"/>
    <w:rsid w:val="00053D49"/>
    <w:rsid w:val="00054E34"/>
    <w:rsid w:val="00067ABD"/>
    <w:rsid w:val="00072F61"/>
    <w:rsid w:val="000E2BD0"/>
    <w:rsid w:val="000E2D33"/>
    <w:rsid w:val="0011727D"/>
    <w:rsid w:val="001256D2"/>
    <w:rsid w:val="0012620A"/>
    <w:rsid w:val="001533CF"/>
    <w:rsid w:val="001C1F84"/>
    <w:rsid w:val="001C4E93"/>
    <w:rsid w:val="001E4B05"/>
    <w:rsid w:val="00262CFC"/>
    <w:rsid w:val="00264DC0"/>
    <w:rsid w:val="00281047"/>
    <w:rsid w:val="00285014"/>
    <w:rsid w:val="002A0B86"/>
    <w:rsid w:val="002B5144"/>
    <w:rsid w:val="00325B17"/>
    <w:rsid w:val="0033281C"/>
    <w:rsid w:val="00350D34"/>
    <w:rsid w:val="003567F8"/>
    <w:rsid w:val="0036488D"/>
    <w:rsid w:val="00382DB2"/>
    <w:rsid w:val="003C0D50"/>
    <w:rsid w:val="003D1E2D"/>
    <w:rsid w:val="003D5D64"/>
    <w:rsid w:val="004613F2"/>
    <w:rsid w:val="004709A4"/>
    <w:rsid w:val="0049168B"/>
    <w:rsid w:val="004B1156"/>
    <w:rsid w:val="004B1EFC"/>
    <w:rsid w:val="004F1C20"/>
    <w:rsid w:val="005413BE"/>
    <w:rsid w:val="00571FBA"/>
    <w:rsid w:val="00592DB8"/>
    <w:rsid w:val="005A4FD1"/>
    <w:rsid w:val="005B7220"/>
    <w:rsid w:val="005C4D7A"/>
    <w:rsid w:val="005C669D"/>
    <w:rsid w:val="005D1119"/>
    <w:rsid w:val="005D3A93"/>
    <w:rsid w:val="005D7DAC"/>
    <w:rsid w:val="005E75E1"/>
    <w:rsid w:val="005F3C7B"/>
    <w:rsid w:val="00605A18"/>
    <w:rsid w:val="0066768B"/>
    <w:rsid w:val="006829CB"/>
    <w:rsid w:val="006F0D4E"/>
    <w:rsid w:val="006F2164"/>
    <w:rsid w:val="00716F57"/>
    <w:rsid w:val="007271EB"/>
    <w:rsid w:val="007327E6"/>
    <w:rsid w:val="00734E1C"/>
    <w:rsid w:val="00736C8E"/>
    <w:rsid w:val="0074124B"/>
    <w:rsid w:val="0076344F"/>
    <w:rsid w:val="00773FF0"/>
    <w:rsid w:val="00774E63"/>
    <w:rsid w:val="00791EF9"/>
    <w:rsid w:val="00795437"/>
    <w:rsid w:val="007C607F"/>
    <w:rsid w:val="0084371F"/>
    <w:rsid w:val="00883008"/>
    <w:rsid w:val="00883D2B"/>
    <w:rsid w:val="008D4C2F"/>
    <w:rsid w:val="008F29B1"/>
    <w:rsid w:val="008F3F12"/>
    <w:rsid w:val="009051FA"/>
    <w:rsid w:val="0094473E"/>
    <w:rsid w:val="00954793"/>
    <w:rsid w:val="0096482B"/>
    <w:rsid w:val="009A1E6A"/>
    <w:rsid w:val="009F333B"/>
    <w:rsid w:val="00A174AD"/>
    <w:rsid w:val="00A76EF7"/>
    <w:rsid w:val="00A918ED"/>
    <w:rsid w:val="00A95E7D"/>
    <w:rsid w:val="00AA1748"/>
    <w:rsid w:val="00AA27D2"/>
    <w:rsid w:val="00AD5329"/>
    <w:rsid w:val="00AD6DB3"/>
    <w:rsid w:val="00B21953"/>
    <w:rsid w:val="00B26211"/>
    <w:rsid w:val="00B57FA8"/>
    <w:rsid w:val="00B80C5B"/>
    <w:rsid w:val="00B8114B"/>
    <w:rsid w:val="00B8716E"/>
    <w:rsid w:val="00B87B30"/>
    <w:rsid w:val="00B916F7"/>
    <w:rsid w:val="00B9274B"/>
    <w:rsid w:val="00B938AF"/>
    <w:rsid w:val="00BA45E0"/>
    <w:rsid w:val="00BD27AA"/>
    <w:rsid w:val="00BE311A"/>
    <w:rsid w:val="00BE357D"/>
    <w:rsid w:val="00C04E5A"/>
    <w:rsid w:val="00C074E2"/>
    <w:rsid w:val="00C5443C"/>
    <w:rsid w:val="00CA2C17"/>
    <w:rsid w:val="00CB39DD"/>
    <w:rsid w:val="00CB689C"/>
    <w:rsid w:val="00CE4BF3"/>
    <w:rsid w:val="00DB0B4B"/>
    <w:rsid w:val="00DD663F"/>
    <w:rsid w:val="00E156D4"/>
    <w:rsid w:val="00E43574"/>
    <w:rsid w:val="00E454CD"/>
    <w:rsid w:val="00E65FD0"/>
    <w:rsid w:val="00E823AD"/>
    <w:rsid w:val="00E831C9"/>
    <w:rsid w:val="00E86689"/>
    <w:rsid w:val="00EB2E57"/>
    <w:rsid w:val="00EC28B3"/>
    <w:rsid w:val="00EE5B28"/>
    <w:rsid w:val="00EF1DB6"/>
    <w:rsid w:val="00F4177E"/>
    <w:rsid w:val="00F56E6F"/>
    <w:rsid w:val="00F65823"/>
    <w:rsid w:val="00F975CA"/>
    <w:rsid w:val="00FC6ABD"/>
    <w:rsid w:val="00FD3011"/>
    <w:rsid w:val="00FF54BF"/>
    <w:rsid w:val="00FF6307"/>
    <w:rsid w:val="00FF788E"/>
    <w:rsid w:val="13B35BE1"/>
    <w:rsid w:val="1B8574EF"/>
    <w:rsid w:val="3A6E0DBA"/>
    <w:rsid w:val="424D0EAA"/>
    <w:rsid w:val="425517E2"/>
    <w:rsid w:val="44170D0D"/>
    <w:rsid w:val="45F87D9F"/>
    <w:rsid w:val="477C4F69"/>
    <w:rsid w:val="4E057748"/>
    <w:rsid w:val="4E7D23F6"/>
    <w:rsid w:val="4F5C523C"/>
    <w:rsid w:val="55DD129C"/>
    <w:rsid w:val="59176B6C"/>
    <w:rsid w:val="5B293CD7"/>
    <w:rsid w:val="5C1F026F"/>
    <w:rsid w:val="5CA16B46"/>
    <w:rsid w:val="5DA830FD"/>
    <w:rsid w:val="5DEE4D24"/>
    <w:rsid w:val="61561637"/>
    <w:rsid w:val="61D6444F"/>
    <w:rsid w:val="692E5837"/>
    <w:rsid w:val="6AC314CD"/>
    <w:rsid w:val="7104283A"/>
    <w:rsid w:val="711F57DD"/>
    <w:rsid w:val="74772ABE"/>
    <w:rsid w:val="77F44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96C79-9B04-4835-AD05-115B9A0FAB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3819</Words>
  <Characters>21771</Characters>
  <Lines>181</Lines>
  <Paragraphs>51</Paragraphs>
  <TotalTime>723</TotalTime>
  <ScaleCrop>false</ScaleCrop>
  <LinksUpToDate>false</LinksUpToDate>
  <CharactersWithSpaces>25539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Dell</cp:lastModifiedBy>
  <dcterms:modified xsi:type="dcterms:W3CDTF">2019-08-16T13:46:01Z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