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高新区（新市区）青格达湖卫生院</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青格达湖卫生院部门单位概况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一、关于青格达湖卫生院2019年收支预算情况的总体说明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二、关于青格达湖卫生院2019年收入预算情况说明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三、关于青格达湖卫生院2019年支出预算情况说明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青格达湖卫生院2019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五、关于青格达湖卫生院2019年一般公共预算当年拨款情况说明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六、关于青格达湖卫生院2019年一般公共预算基本支出情况说明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七、关于青格达湖卫生院2019年项目支出情况说明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八、关于青格达湖卫生院2019年一般公共预算“三公”经费预算情况说明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九、关于青格达湖卫生院2019年政府性基金预算拨款情况说明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ind w:firstLine="1760" w:firstLineChars="550"/>
        <w:outlineLvl w:val="1"/>
        <w:rPr>
          <w:rFonts w:ascii="黑体" w:hAnsi="黑体" w:eastAsia="黑体"/>
          <w:kern w:val="0"/>
          <w:sz w:val="32"/>
          <w:szCs w:val="32"/>
        </w:rPr>
      </w:pPr>
      <w:r>
        <w:rPr>
          <w:rFonts w:hint="eastAsia" w:ascii="黑体" w:hAnsi="黑体" w:eastAsia="黑体"/>
          <w:kern w:val="0"/>
          <w:sz w:val="32"/>
          <w:szCs w:val="32"/>
        </w:rPr>
        <w:t>第一部分   青格达湖卫生院部门单位概况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青格达湖卫生院是一所集医疗、预防、保健、公共卫生服务为一体的综合性卫生院，主要承担辖区内6708人口的基本公共卫生服务和基本医疗服务。我院位于高新区青格达湖乡，于1992年07月正式挂牌成立，现有业务用房500平方米，我院现有职工8人。</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卫生院以公共卫生服务为主，综合提供预防、保健和基本医疗等服务。</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1、建立和管理的居民档案，进行信息采集、体格检查、归档保管、配备电子信息卡、入户服务、随访更新。</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2、定期开展健康教育活动。发放健康教育折页、健康教育处方和健康手册，并播放和宣传音像资料。开展宣传教育的效果。</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3、加强农村疾病预防控制，做好传染病、地方病防治和疫情等农村突发性公共卫生事件报告工作，重点控制严重危害农民身体健康的传染病、地方病、职业病和寄生虫病等重大疾病。</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4、认真执行儿童计划免疫。为适龄儿童建立儿童档案，并为其接种各类疫苗。积极开展慢性非传染性疾病的防治工作。</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5、做好农村孕产妇和儿童保健工作，提高住院分娩率，改善儿童营养状况。提供孕妇营养、心理等健康指导。对儿童进行体格检查，生长发育的评估，口腔检查和保健咨询。</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6、积极做好新型农村合作医疗的服务、计划生育技术指导、康复等工作。</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7、开展爱国卫生运动，普及疾病预防和卫生保健知识，指导群众改善居住、饮食、饮水和环境卫生条件，引导和帮助农民建立良好的卫生习惯。</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8、对65岁及以上的老年人进行每年一次健康管理服务。提供免费的体检、和老年人自我保健及伤害预防、自救等健康指导，并建立老年人档案，且管理。</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9、做好重性精神病患者的随访工作。对其病情进行评估，督促服药，健康教育和康复指导。并定期对其进行体检。</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10、对糖尿病高危人群、高血压高危人群的登记管理工作。提供健康检查、用药指导、病情监测、行为干涉等工作。</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11、对辖区内的适龄儿童和65岁以上老人进行中医药健康指导，并提供相关服务。</w:t>
      </w:r>
    </w:p>
    <w:p>
      <w:pPr>
        <w:widowControl/>
        <w:shd w:val="clear" w:color="auto" w:fill="FFFFFF"/>
        <w:ind w:firstLine="482"/>
        <w:jc w:val="left"/>
        <w:rPr>
          <w:rFonts w:ascii="仿宋_GB2312" w:hAnsi="宋体" w:eastAsia="仿宋_GB2312"/>
          <w:kern w:val="0"/>
          <w:sz w:val="32"/>
          <w:szCs w:val="32"/>
        </w:rPr>
      </w:pPr>
      <w:r>
        <w:rPr>
          <w:rFonts w:hint="eastAsia" w:ascii="黑体" w:hAnsi="黑体" w:eastAsia="黑体" w:cs="宋体"/>
          <w:bCs/>
          <w:kern w:val="0"/>
          <w:sz w:val="32"/>
          <w:szCs w:val="32"/>
        </w:rPr>
        <w:t>二、机构设置及人员情况</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本单位无下属预算单位，下设 6个处室及四个村卫生室，分别是：院长办公室、财务室、公共卫生科、药房、医技、护理，新联村卫生室、联合村卫生室、天山村卫生室、青湖村卫生室。</w:t>
      </w:r>
    </w:p>
    <w:p>
      <w:pPr>
        <w:widowControl/>
        <w:shd w:val="clear" w:color="auto" w:fill="FFFFFF"/>
        <w:ind w:firstLine="482"/>
        <w:jc w:val="left"/>
        <w:rPr>
          <w:rFonts w:ascii="仿宋_GB2312" w:hAnsi="宋体" w:eastAsia="仿宋_GB2312"/>
          <w:kern w:val="0"/>
          <w:sz w:val="32"/>
          <w:szCs w:val="32"/>
        </w:rPr>
      </w:pPr>
      <w:r>
        <w:rPr>
          <w:rFonts w:hint="eastAsia" w:ascii="仿宋_GB2312" w:hAnsi="宋体" w:eastAsia="仿宋_GB2312"/>
          <w:kern w:val="0"/>
          <w:sz w:val="32"/>
          <w:szCs w:val="32"/>
        </w:rPr>
        <w:t>本单位编制数8人，实有人数8人，其中：在职 8人，增加0人，减少1人； 退休0人，退职0人，增加0人，减少0人，离休0人。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8789" w:type="dxa"/>
        <w:tblInd w:w="-269" w:type="dxa"/>
        <w:tblLayout w:type="fixed"/>
        <w:tblCellMar>
          <w:top w:w="0" w:type="dxa"/>
          <w:left w:w="0" w:type="dxa"/>
          <w:bottom w:w="0" w:type="dxa"/>
          <w:right w:w="0" w:type="dxa"/>
        </w:tblCellMar>
      </w:tblPr>
      <w:tblGrid>
        <w:gridCol w:w="617"/>
        <w:gridCol w:w="348"/>
        <w:gridCol w:w="348"/>
        <w:gridCol w:w="677"/>
        <w:gridCol w:w="573"/>
        <w:gridCol w:w="428"/>
        <w:gridCol w:w="1274"/>
        <w:gridCol w:w="382"/>
        <w:gridCol w:w="319"/>
        <w:gridCol w:w="347"/>
        <w:gridCol w:w="348"/>
        <w:gridCol w:w="348"/>
        <w:gridCol w:w="348"/>
        <w:gridCol w:w="348"/>
        <w:gridCol w:w="348"/>
        <w:gridCol w:w="1453"/>
        <w:gridCol w:w="283"/>
      </w:tblGrid>
      <w:tr>
        <w:tblPrEx>
          <w:tblLayout w:type="fixed"/>
          <w:tblCellMar>
            <w:top w:w="0" w:type="dxa"/>
            <w:left w:w="0" w:type="dxa"/>
            <w:bottom w:w="0" w:type="dxa"/>
            <w:right w:w="0" w:type="dxa"/>
          </w:tblCellMar>
        </w:tblPrEx>
        <w:trPr>
          <w:gridAfter w:val="1"/>
          <w:wAfter w:w="283" w:type="dxa"/>
          <w:trHeight w:val="345" w:hRule="atLeast"/>
        </w:trPr>
        <w:tc>
          <w:tcPr>
            <w:tcW w:w="8506" w:type="dxa"/>
            <w:gridSpan w:val="16"/>
            <w:vMerge w:val="restart"/>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ascii="Default" w:hAnsi="Default" w:cs="Default" w:eastAsiaTheme="minorEastAsia"/>
                <w:b/>
                <w:color w:val="000000"/>
                <w:kern w:val="0"/>
                <w:sz w:val="28"/>
                <w:szCs w:val="28"/>
              </w:rPr>
            </w:pPr>
            <w:r>
              <w:rPr>
                <w:rFonts w:hint="eastAsia" w:ascii="Default" w:hAnsi="Default" w:cs="Default" w:eastAsiaTheme="minorEastAsia"/>
                <w:b/>
                <w:color w:val="000000"/>
                <w:kern w:val="0"/>
                <w:sz w:val="28"/>
                <w:szCs w:val="28"/>
              </w:rPr>
              <w:t>表一：</w:t>
            </w:r>
          </w:p>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tblPrEx>
          <w:tblLayout w:type="fixed"/>
          <w:tblCellMar>
            <w:top w:w="0" w:type="dxa"/>
            <w:left w:w="0" w:type="dxa"/>
            <w:bottom w:w="0" w:type="dxa"/>
            <w:right w:w="0" w:type="dxa"/>
          </w:tblCellMar>
        </w:tblPrEx>
        <w:trPr>
          <w:gridAfter w:val="1"/>
          <w:wAfter w:w="283" w:type="dxa"/>
          <w:trHeight w:val="345" w:hRule="atLeast"/>
        </w:trPr>
        <w:tc>
          <w:tcPr>
            <w:tcW w:w="8506" w:type="dxa"/>
            <w:gridSpan w:val="1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gridAfter w:val="1"/>
          <w:wAfter w:w="283" w:type="dxa"/>
          <w:trHeight w:val="580" w:hRule="atLeast"/>
        </w:trPr>
        <w:tc>
          <w:tcPr>
            <w:tcW w:w="4647" w:type="dxa"/>
            <w:gridSpan w:val="8"/>
            <w:tcBorders>
              <w:top w:val="nil"/>
              <w:left w:val="nil"/>
              <w:bottom w:val="nil"/>
              <w:right w:val="nil"/>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编制部门:青格达湖卫生院</w:t>
            </w:r>
          </w:p>
        </w:tc>
        <w:tc>
          <w:tcPr>
            <w:tcW w:w="3859" w:type="dxa"/>
            <w:gridSpan w:val="8"/>
            <w:tcBorders>
              <w:top w:val="nil"/>
              <w:left w:val="nil"/>
              <w:bottom w:val="nil"/>
              <w:right w:val="nil"/>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gridAfter w:val="1"/>
          <w:wAfter w:w="283" w:type="dxa"/>
          <w:trHeight w:val="345" w:hRule="atLeast"/>
        </w:trPr>
        <w:tc>
          <w:tcPr>
            <w:tcW w:w="25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收     入</w:t>
            </w:r>
          </w:p>
        </w:tc>
        <w:tc>
          <w:tcPr>
            <w:tcW w:w="5943" w:type="dxa"/>
            <w:gridSpan w:val="1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支     出</w:t>
            </w:r>
          </w:p>
        </w:tc>
      </w:tr>
      <w:tr>
        <w:tblPrEx>
          <w:tblLayout w:type="fixed"/>
          <w:tblCellMar>
            <w:top w:w="0" w:type="dxa"/>
            <w:left w:w="0" w:type="dxa"/>
            <w:bottom w:w="0" w:type="dxa"/>
            <w:right w:w="0" w:type="dxa"/>
          </w:tblCellMar>
        </w:tblPrEx>
        <w:trPr>
          <w:gridAfter w:val="1"/>
          <w:wAfter w:w="283" w:type="dxa"/>
          <w:trHeight w:val="345" w:hRule="atLeast"/>
        </w:trPr>
        <w:tc>
          <w:tcPr>
            <w:tcW w:w="19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5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c>
          <w:tcPr>
            <w:tcW w:w="2084"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3859" w:type="dxa"/>
            <w:gridSpan w:val="8"/>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教育收费（财政专户）</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事业收入</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事业单位经营收入</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其他收入</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用事业基金弥补收支差额</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单位上年结余（不包括国库集中支付额度结余）</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gridAfter w:val="1"/>
          <w:wAfter w:w="283" w:type="dxa"/>
          <w:trHeight w:val="300" w:hRule="atLeast"/>
        </w:trPr>
        <w:tc>
          <w:tcPr>
            <w:tcW w:w="1990"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5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084"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3859" w:type="dxa"/>
            <w:gridSpan w:val="8"/>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r>
      <w:tr>
        <w:tblPrEx>
          <w:tblLayout w:type="fixed"/>
          <w:tblCellMar>
            <w:top w:w="0" w:type="dxa"/>
            <w:left w:w="0" w:type="dxa"/>
            <w:bottom w:w="0" w:type="dxa"/>
            <w:right w:w="0" w:type="dxa"/>
          </w:tblCellMar>
        </w:tblPrEx>
        <w:trPr>
          <w:trHeight w:val="810" w:hRule="atLeast"/>
        </w:trPr>
        <w:tc>
          <w:tcPr>
            <w:tcW w:w="6357" w:type="dxa"/>
            <w:gridSpan w:val="13"/>
            <w:tcBorders>
              <w:top w:val="nil"/>
              <w:left w:val="nil"/>
              <w:bottom w:val="nil"/>
              <w:right w:val="nil"/>
            </w:tcBorders>
            <w:shd w:val="clear" w:color="auto" w:fill="FFFFFF"/>
            <w:tcMar>
              <w:top w:w="15" w:type="dxa"/>
              <w:left w:w="15" w:type="dxa"/>
              <w:right w:w="15" w:type="dxa"/>
            </w:tcMar>
            <w:vAlign w:val="center"/>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textAlignment w:val="center"/>
              <w:rPr>
                <w:rFonts w:hint="eastAsia" w:ascii="Default" w:hAnsi="Default" w:cs="Default" w:eastAsiaTheme="minorEastAsia"/>
                <w:b/>
                <w:color w:val="000000"/>
                <w:kern w:val="0"/>
                <w:sz w:val="26"/>
                <w:szCs w:val="26"/>
              </w:rPr>
            </w:pPr>
          </w:p>
          <w:p>
            <w:pPr>
              <w:widowControl/>
              <w:textAlignment w:val="center"/>
              <w:rPr>
                <w:rFonts w:hint="eastAsia" w:ascii="Default" w:hAnsi="Default" w:cs="Default" w:eastAsiaTheme="minorEastAsia"/>
                <w:b/>
                <w:color w:val="000000"/>
                <w:kern w:val="0"/>
                <w:sz w:val="26"/>
                <w:szCs w:val="26"/>
              </w:rPr>
            </w:pPr>
          </w:p>
          <w:p>
            <w:pPr>
              <w:widowControl/>
              <w:textAlignment w:val="center"/>
              <w:rPr>
                <w:rFonts w:hint="eastAsia" w:ascii="Default" w:hAnsi="Default" w:cs="Default" w:eastAsiaTheme="minorEastAsia"/>
                <w:b/>
                <w:color w:val="000000"/>
                <w:kern w:val="0"/>
                <w:sz w:val="26"/>
                <w:szCs w:val="26"/>
              </w:rPr>
            </w:pPr>
          </w:p>
          <w:p>
            <w:pPr>
              <w:widowControl/>
              <w:textAlignment w:val="center"/>
              <w:rPr>
                <w:rFonts w:hint="eastAsia" w:ascii="Default" w:hAnsi="Default" w:cs="Default" w:eastAsiaTheme="minorEastAsia"/>
                <w:b/>
                <w:color w:val="000000"/>
                <w:kern w:val="0"/>
                <w:sz w:val="30"/>
                <w:szCs w:val="30"/>
              </w:rPr>
            </w:pPr>
            <w:r>
              <w:rPr>
                <w:rFonts w:ascii="Default" w:hAnsi="Default" w:eastAsia="Default" w:cs="Default"/>
                <w:b/>
                <w:color w:val="000000"/>
                <w:kern w:val="0"/>
                <w:sz w:val="26"/>
                <w:szCs w:val="26"/>
              </w:rPr>
              <w:t>表二：</w:t>
            </w:r>
          </w:p>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部门收入总体情况表</w:t>
            </w:r>
          </w:p>
        </w:tc>
        <w:tc>
          <w:tcPr>
            <w:tcW w:w="348"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36"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435" w:hRule="atLeast"/>
        </w:trPr>
        <w:tc>
          <w:tcPr>
            <w:tcW w:w="6357" w:type="dxa"/>
            <w:gridSpan w:val="1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填报部门:青格达湖卫生院</w:t>
            </w:r>
          </w:p>
        </w:tc>
        <w:tc>
          <w:tcPr>
            <w:tcW w:w="348"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084" w:type="dxa"/>
            <w:gridSpan w:val="3"/>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435" w:hRule="atLeast"/>
        </w:trPr>
        <w:tc>
          <w:tcPr>
            <w:tcW w:w="131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678" w:type="dxa"/>
            <w:gridSpan w:val="3"/>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预算单位</w:t>
            </w:r>
          </w:p>
        </w:tc>
        <w:tc>
          <w:tcPr>
            <w:tcW w:w="127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70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一般公共预算拨款</w:t>
            </w:r>
          </w:p>
        </w:tc>
        <w:tc>
          <w:tcPr>
            <w:tcW w:w="34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政府性基金预算</w:t>
            </w:r>
          </w:p>
        </w:tc>
        <w:tc>
          <w:tcPr>
            <w:tcW w:w="348"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教育收费(财政专户)</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事业收入</w:t>
            </w:r>
          </w:p>
        </w:tc>
        <w:tc>
          <w:tcPr>
            <w:tcW w:w="348"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事业单位经营收入</w:t>
            </w:r>
          </w:p>
        </w:tc>
        <w:tc>
          <w:tcPr>
            <w:tcW w:w="348"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其他收入</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用事业基金弥补收支差额</w:t>
            </w:r>
          </w:p>
        </w:tc>
        <w:tc>
          <w:tcPr>
            <w:tcW w:w="1736"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财政拨款结转结余(小计)</w:t>
            </w:r>
          </w:p>
        </w:tc>
      </w:tr>
      <w:tr>
        <w:tblPrEx>
          <w:tblLayout w:type="fixed"/>
          <w:tblCellMar>
            <w:top w:w="0" w:type="dxa"/>
            <w:left w:w="0" w:type="dxa"/>
            <w:bottom w:w="0" w:type="dxa"/>
            <w:right w:w="0" w:type="dxa"/>
          </w:tblCellMar>
        </w:tblPrEx>
        <w:trPr>
          <w:trHeight w:val="219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678" w:type="dxa"/>
            <w:gridSpan w:val="3"/>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127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70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34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348"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348"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ascii="Default" w:hAnsi="Default" w:eastAsia="Default" w:cs="Default"/>
                <w:color w:val="000000"/>
                <w:sz w:val="20"/>
                <w:szCs w:val="20"/>
              </w:rPr>
            </w:pPr>
          </w:p>
        </w:tc>
        <w:tc>
          <w:tcPr>
            <w:tcW w:w="348"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1736"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青格达湖卫生院</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卫生健康支出</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4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基层医疗卫生机构</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48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乡镇卫生院</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78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6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678"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7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01"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36"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编制部门：青格达湖卫生院                                        单位：万元</w:t>
      </w:r>
    </w:p>
    <w:tbl>
      <w:tblPr>
        <w:tblStyle w:val="7"/>
        <w:tblW w:w="9498" w:type="dxa"/>
        <w:tblInd w:w="-176" w:type="dxa"/>
        <w:tblLayout w:type="fixed"/>
        <w:tblCellMar>
          <w:top w:w="0" w:type="dxa"/>
          <w:left w:w="108" w:type="dxa"/>
          <w:bottom w:w="0" w:type="dxa"/>
          <w:right w:w="108" w:type="dxa"/>
        </w:tblCellMar>
      </w:tblPr>
      <w:tblGrid>
        <w:gridCol w:w="670"/>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40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总计</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136.17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108.21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青格达湖卫生院　</w:t>
            </w:r>
          </w:p>
        </w:tc>
        <w:tc>
          <w:tcPr>
            <w:tcW w:w="1855" w:type="dxa"/>
            <w:tcBorders>
              <w:top w:val="nil"/>
              <w:left w:val="nil"/>
              <w:bottom w:val="single" w:color="auto" w:sz="4" w:space="0"/>
              <w:right w:val="single" w:color="auto" w:sz="4" w:space="0"/>
            </w:tcBorders>
            <w:shd w:val="clear" w:color="auto" w:fill="auto"/>
            <w:vAlign w:val="center"/>
          </w:tcPr>
          <w:p>
            <w:pPr>
              <w:widowControl/>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136.17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108.21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社会保障和就业支出</w:t>
            </w:r>
          </w:p>
        </w:tc>
        <w:tc>
          <w:tcPr>
            <w:tcW w:w="1855"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10.52</w:t>
            </w:r>
          </w:p>
        </w:tc>
        <w:tc>
          <w:tcPr>
            <w:tcW w:w="1856"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10.52</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05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行政事业单位离退休</w:t>
            </w:r>
          </w:p>
        </w:tc>
        <w:tc>
          <w:tcPr>
            <w:tcW w:w="1855"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10.52</w:t>
            </w:r>
          </w:p>
        </w:tc>
        <w:tc>
          <w:tcPr>
            <w:tcW w:w="1856"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10.52</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05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05　</w:t>
            </w:r>
          </w:p>
        </w:tc>
        <w:tc>
          <w:tcPr>
            <w:tcW w:w="260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机关事业单位基本养老保险缴费支出</w:t>
            </w:r>
          </w:p>
        </w:tc>
        <w:tc>
          <w:tcPr>
            <w:tcW w:w="1855"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10.52</w:t>
            </w:r>
          </w:p>
        </w:tc>
        <w:tc>
          <w:tcPr>
            <w:tcW w:w="1856"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10.52</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医疗卫生与计划生育支出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125.65</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97.69</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659"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基层医疗卫生机构</w:t>
            </w:r>
          </w:p>
        </w:tc>
        <w:tc>
          <w:tcPr>
            <w:tcW w:w="1855" w:type="dxa"/>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125.65</w:t>
            </w:r>
          </w:p>
        </w:tc>
        <w:tc>
          <w:tcPr>
            <w:tcW w:w="1856" w:type="dxa"/>
            <w:tcBorders>
              <w:top w:val="nil"/>
              <w:left w:val="nil"/>
              <w:bottom w:val="single" w:color="auto" w:sz="4" w:space="0"/>
              <w:right w:val="single" w:color="auto" w:sz="4" w:space="0"/>
            </w:tcBorders>
            <w:shd w:val="clear" w:color="auto" w:fill="auto"/>
          </w:tcPr>
          <w:p>
            <w:pPr>
              <w:ind w:firstLine="552" w:firstLineChars="250"/>
              <w:jc w:val="left"/>
            </w:pPr>
            <w:r>
              <w:rPr>
                <w:rFonts w:hint="eastAsia" w:ascii="宋体" w:hAnsi="宋体" w:cs="宋体"/>
                <w:b/>
                <w:bCs/>
                <w:color w:val="000000"/>
                <w:kern w:val="0"/>
                <w:sz w:val="22"/>
                <w:szCs w:val="22"/>
              </w:rPr>
              <w:t>97.69</w:t>
            </w:r>
          </w:p>
        </w:tc>
        <w:tc>
          <w:tcPr>
            <w:tcW w:w="1713" w:type="dxa"/>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210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02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乡镇卫生院</w:t>
            </w:r>
          </w:p>
        </w:tc>
        <w:tc>
          <w:tcPr>
            <w:tcW w:w="1855" w:type="dxa"/>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125.65</w:t>
            </w:r>
          </w:p>
        </w:tc>
        <w:tc>
          <w:tcPr>
            <w:tcW w:w="1856" w:type="dxa"/>
            <w:tcBorders>
              <w:top w:val="nil"/>
              <w:left w:val="nil"/>
              <w:bottom w:val="single" w:color="auto" w:sz="4" w:space="0"/>
              <w:right w:val="single" w:color="auto" w:sz="4" w:space="0"/>
            </w:tcBorders>
            <w:shd w:val="clear" w:color="auto" w:fill="auto"/>
          </w:tcPr>
          <w:p>
            <w:pPr>
              <w:ind w:firstLine="552" w:firstLineChars="250"/>
            </w:pPr>
            <w:r>
              <w:rPr>
                <w:rFonts w:hint="eastAsia" w:ascii="宋体" w:hAnsi="宋体" w:cs="宋体"/>
                <w:b/>
                <w:bCs/>
                <w:color w:val="000000"/>
                <w:kern w:val="0"/>
                <w:sz w:val="22"/>
                <w:szCs w:val="22"/>
              </w:rPr>
              <w:t>97.69</w:t>
            </w:r>
          </w:p>
        </w:tc>
        <w:tc>
          <w:tcPr>
            <w:tcW w:w="1713" w:type="dxa"/>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136.17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108.21</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7"/>
        <w:tblW w:w="8095" w:type="dxa"/>
        <w:tblInd w:w="0" w:type="dxa"/>
        <w:tblLayout w:type="fixed"/>
        <w:tblCellMar>
          <w:top w:w="0" w:type="dxa"/>
          <w:left w:w="0" w:type="dxa"/>
          <w:bottom w:w="0" w:type="dxa"/>
          <w:right w:w="0" w:type="dxa"/>
        </w:tblCellMar>
      </w:tblPr>
      <w:tblGrid>
        <w:gridCol w:w="1731"/>
        <w:gridCol w:w="751"/>
        <w:gridCol w:w="2673"/>
        <w:gridCol w:w="765"/>
        <w:gridCol w:w="765"/>
        <w:gridCol w:w="1410"/>
      </w:tblGrid>
      <w:tr>
        <w:tblPrEx>
          <w:tblLayout w:type="fixed"/>
          <w:tblCellMar>
            <w:top w:w="0" w:type="dxa"/>
            <w:left w:w="0" w:type="dxa"/>
            <w:bottom w:w="0" w:type="dxa"/>
            <w:right w:w="0" w:type="dxa"/>
          </w:tblCellMar>
        </w:tblPrEx>
        <w:trPr>
          <w:trHeight w:val="435" w:hRule="atLeast"/>
        </w:trPr>
        <w:tc>
          <w:tcPr>
            <w:tcW w:w="8095" w:type="dxa"/>
            <w:gridSpan w:val="6"/>
            <w:vMerge w:val="restart"/>
            <w:tcBorders>
              <w:top w:val="nil"/>
              <w:left w:val="nil"/>
              <w:bottom w:val="nil"/>
              <w:right w:val="nil"/>
            </w:tcBorders>
            <w:shd w:val="clear" w:color="auto" w:fill="FFFFFF"/>
            <w:tcMar>
              <w:top w:w="15" w:type="dxa"/>
              <w:left w:w="15" w:type="dxa"/>
              <w:right w:w="15" w:type="dxa"/>
            </w:tcMar>
            <w:vAlign w:val="center"/>
          </w:tcPr>
          <w:p>
            <w:pPr>
              <w:widowControl/>
              <w:textAlignment w:val="center"/>
              <w:rPr>
                <w:rFonts w:hint="eastAsia" w:ascii="Default" w:hAnsi="Default" w:cs="Default" w:eastAsiaTheme="minorEastAsia"/>
                <w:b/>
                <w:color w:val="000000"/>
                <w:kern w:val="0"/>
                <w:sz w:val="28"/>
                <w:szCs w:val="28"/>
              </w:rPr>
            </w:pPr>
            <w:r>
              <w:rPr>
                <w:rFonts w:hint="eastAsia" w:ascii="Default" w:hAnsi="Default" w:cs="Default" w:eastAsiaTheme="minorEastAsia"/>
                <w:b/>
                <w:color w:val="000000"/>
                <w:kern w:val="0"/>
                <w:sz w:val="28"/>
                <w:szCs w:val="28"/>
              </w:rPr>
              <w:t>表四：</w:t>
            </w:r>
          </w:p>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tblPrEx>
          <w:tblLayout w:type="fixed"/>
          <w:tblCellMar>
            <w:top w:w="0" w:type="dxa"/>
            <w:left w:w="0" w:type="dxa"/>
            <w:bottom w:w="0" w:type="dxa"/>
            <w:right w:w="0" w:type="dxa"/>
          </w:tblCellMar>
        </w:tblPrEx>
        <w:trPr>
          <w:trHeight w:val="435" w:hRule="atLeast"/>
        </w:trPr>
        <w:tc>
          <w:tcPr>
            <w:tcW w:w="8095" w:type="dxa"/>
            <w:gridSpan w:val="6"/>
            <w:vMerge w:val="continue"/>
            <w:tcBorders>
              <w:top w:val="nil"/>
              <w:left w:val="nil"/>
              <w:bottom w:val="nil"/>
              <w:right w:val="nil"/>
            </w:tcBorders>
            <w:shd w:val="clear" w:color="auto" w:fill="FFFFFF"/>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trHeight w:val="435" w:hRule="atLeast"/>
        </w:trPr>
        <w:tc>
          <w:tcPr>
            <w:tcW w:w="5155"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填报部门:青格达湖卫生院</w:t>
            </w:r>
          </w:p>
        </w:tc>
        <w:tc>
          <w:tcPr>
            <w:tcW w:w="76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175"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trHeight w:val="435" w:hRule="atLeast"/>
        </w:trPr>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财政拨款收入</w:t>
            </w:r>
          </w:p>
        </w:tc>
        <w:tc>
          <w:tcPr>
            <w:tcW w:w="561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财政拨款支出</w:t>
            </w:r>
          </w:p>
        </w:tc>
      </w:tr>
      <w:tr>
        <w:tblPrEx>
          <w:tblLayout w:type="fixed"/>
          <w:tblCellMar>
            <w:top w:w="0" w:type="dxa"/>
            <w:left w:w="0" w:type="dxa"/>
            <w:bottom w:w="0" w:type="dxa"/>
            <w:right w:w="0" w:type="dxa"/>
          </w:tblCellMar>
        </w:tblPrEx>
        <w:trPr>
          <w:trHeight w:val="54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一般公共预算</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政府基金预算</w:t>
            </w: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10.52</w:t>
            </w: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125.65</w:t>
            </w: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75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6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75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267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136.17</w:t>
            </w: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90" w:hRule="atLeast"/>
        </w:trPr>
        <w:tc>
          <w:tcPr>
            <w:tcW w:w="173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5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67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6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41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编制部门：青格达湖卫生院</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136.17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108.21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青格达湖卫生院</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136.17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108.21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208</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251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社会保障和就业支出</w:t>
            </w:r>
          </w:p>
        </w:tc>
        <w:tc>
          <w:tcPr>
            <w:tcW w:w="1684" w:type="dxa"/>
            <w:gridSpan w:val="2"/>
            <w:tcBorders>
              <w:top w:val="nil"/>
              <w:left w:val="nil"/>
              <w:bottom w:val="single" w:color="auto" w:sz="4" w:space="0"/>
              <w:right w:val="single" w:color="auto" w:sz="4" w:space="0"/>
            </w:tcBorders>
            <w:shd w:val="clear" w:color="auto" w:fill="auto"/>
          </w:tcPr>
          <w:p>
            <w:pPr>
              <w:ind w:firstLine="331" w:firstLineChars="150"/>
            </w:pPr>
            <w:r>
              <w:rPr>
                <w:rFonts w:hint="eastAsia" w:ascii="宋体" w:hAnsi="宋体" w:cs="宋体"/>
                <w:b/>
                <w:bCs/>
                <w:color w:val="000000"/>
                <w:kern w:val="0"/>
                <w:sz w:val="22"/>
                <w:szCs w:val="22"/>
              </w:rPr>
              <w:t>10.52</w:t>
            </w:r>
          </w:p>
        </w:tc>
        <w:tc>
          <w:tcPr>
            <w:tcW w:w="1842" w:type="dxa"/>
            <w:gridSpan w:val="2"/>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10.52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05</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251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行政事业单位离退休</w:t>
            </w:r>
          </w:p>
        </w:tc>
        <w:tc>
          <w:tcPr>
            <w:tcW w:w="1684" w:type="dxa"/>
            <w:gridSpan w:val="2"/>
            <w:tcBorders>
              <w:top w:val="nil"/>
              <w:left w:val="nil"/>
              <w:bottom w:val="single" w:color="auto" w:sz="4" w:space="0"/>
              <w:right w:val="single" w:color="auto" w:sz="4" w:space="0"/>
            </w:tcBorders>
            <w:shd w:val="clear" w:color="auto" w:fill="auto"/>
          </w:tcPr>
          <w:p>
            <w:pPr>
              <w:ind w:firstLine="331" w:firstLineChars="150"/>
            </w:pPr>
            <w:r>
              <w:rPr>
                <w:rFonts w:hint="eastAsia" w:ascii="宋体" w:hAnsi="宋体" w:cs="宋体"/>
                <w:b/>
                <w:bCs/>
                <w:color w:val="000000"/>
                <w:kern w:val="0"/>
                <w:sz w:val="22"/>
                <w:szCs w:val="22"/>
              </w:rPr>
              <w:t>10.52</w:t>
            </w:r>
          </w:p>
        </w:tc>
        <w:tc>
          <w:tcPr>
            <w:tcW w:w="1842" w:type="dxa"/>
            <w:gridSpan w:val="2"/>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10.52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05</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05</w:t>
            </w:r>
          </w:p>
        </w:tc>
        <w:tc>
          <w:tcPr>
            <w:tcW w:w="251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ind w:firstLine="331" w:firstLineChars="150"/>
            </w:pPr>
            <w:r>
              <w:rPr>
                <w:rFonts w:hint="eastAsia" w:ascii="宋体" w:hAnsi="宋体" w:cs="宋体"/>
                <w:b/>
                <w:bCs/>
                <w:color w:val="000000"/>
                <w:kern w:val="0"/>
                <w:sz w:val="22"/>
                <w:szCs w:val="22"/>
              </w:rPr>
              <w:t>10.52</w:t>
            </w:r>
          </w:p>
        </w:tc>
        <w:tc>
          <w:tcPr>
            <w:tcW w:w="1842" w:type="dxa"/>
            <w:gridSpan w:val="2"/>
            <w:tcBorders>
              <w:top w:val="nil"/>
              <w:left w:val="nil"/>
              <w:bottom w:val="single" w:color="auto" w:sz="4" w:space="0"/>
              <w:right w:val="single" w:color="auto" w:sz="4" w:space="0"/>
            </w:tcBorders>
            <w:shd w:val="clear" w:color="auto" w:fill="auto"/>
          </w:tcPr>
          <w:p>
            <w:pPr>
              <w:ind w:firstLine="442" w:firstLineChars="200"/>
            </w:pPr>
            <w:r>
              <w:rPr>
                <w:rFonts w:hint="eastAsia" w:ascii="宋体" w:hAnsi="宋体" w:cs="宋体"/>
                <w:b/>
                <w:bCs/>
                <w:color w:val="000000"/>
                <w:kern w:val="0"/>
                <w:sz w:val="22"/>
                <w:szCs w:val="22"/>
              </w:rPr>
              <w:t>10.52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251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医疗卫生与计划生育支出</w:t>
            </w:r>
          </w:p>
        </w:tc>
        <w:tc>
          <w:tcPr>
            <w:tcW w:w="1684" w:type="dxa"/>
            <w:gridSpan w:val="2"/>
            <w:tcBorders>
              <w:top w:val="nil"/>
              <w:left w:val="nil"/>
              <w:bottom w:val="single" w:color="auto" w:sz="4" w:space="0"/>
              <w:right w:val="single" w:color="auto" w:sz="4" w:space="0"/>
            </w:tcBorders>
            <w:shd w:val="clear" w:color="auto" w:fill="auto"/>
          </w:tcPr>
          <w:p>
            <w:pPr>
              <w:widowControl/>
              <w:spacing w:beforeLines="100"/>
              <w:jc w:val="center"/>
              <w:rPr>
                <w:rFonts w:ascii="宋体" w:hAnsi="宋体" w:cs="宋体"/>
                <w:b/>
                <w:bCs/>
                <w:color w:val="000000"/>
                <w:kern w:val="0"/>
                <w:sz w:val="22"/>
                <w:szCs w:val="22"/>
              </w:rPr>
            </w:pPr>
            <w:r>
              <w:rPr>
                <w:rFonts w:hint="eastAsia" w:ascii="宋体" w:hAnsi="宋体" w:cs="宋体"/>
                <w:b/>
                <w:bCs/>
                <w:color w:val="000000"/>
                <w:kern w:val="0"/>
                <w:sz w:val="22"/>
                <w:szCs w:val="22"/>
              </w:rPr>
              <w:t>125.65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97.69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03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1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kern w:val="0"/>
                <w:sz w:val="22"/>
                <w:szCs w:val="22"/>
              </w:rPr>
            </w:pPr>
            <w:r>
              <w:rPr>
                <w:rFonts w:hint="eastAsia" w:ascii="宋体" w:hAnsi="宋体" w:cs="宋体"/>
                <w:b/>
                <w:bCs/>
                <w:color w:val="000000"/>
                <w:kern w:val="0"/>
                <w:sz w:val="22"/>
                <w:szCs w:val="22"/>
              </w:rPr>
              <w:t>　基层医疗卫生机构</w:t>
            </w:r>
          </w:p>
        </w:tc>
        <w:tc>
          <w:tcPr>
            <w:tcW w:w="1684" w:type="dxa"/>
            <w:gridSpan w:val="2"/>
            <w:tcBorders>
              <w:top w:val="nil"/>
              <w:left w:val="nil"/>
              <w:bottom w:val="single" w:color="auto" w:sz="4" w:space="0"/>
              <w:right w:val="single" w:color="auto" w:sz="4" w:space="0"/>
            </w:tcBorders>
            <w:shd w:val="clear" w:color="auto" w:fill="auto"/>
          </w:tcPr>
          <w:p>
            <w:pPr>
              <w:widowControl/>
              <w:spacing w:beforeLines="100"/>
              <w:jc w:val="center"/>
              <w:rPr>
                <w:rFonts w:ascii="宋体" w:hAnsi="宋体" w:cs="宋体"/>
                <w:b/>
                <w:bCs/>
                <w:color w:val="000000"/>
                <w:kern w:val="0"/>
                <w:sz w:val="22"/>
                <w:szCs w:val="22"/>
              </w:rPr>
            </w:pPr>
            <w:r>
              <w:rPr>
                <w:rFonts w:hint="eastAsia" w:ascii="宋体" w:hAnsi="宋体" w:cs="宋体"/>
                <w:b/>
                <w:bCs/>
                <w:color w:val="000000"/>
                <w:kern w:val="0"/>
                <w:sz w:val="22"/>
                <w:szCs w:val="22"/>
              </w:rPr>
              <w:t>125.65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97.69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03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02　</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乡镇卫生院</w:t>
            </w:r>
          </w:p>
        </w:tc>
        <w:tc>
          <w:tcPr>
            <w:tcW w:w="1684" w:type="dxa"/>
            <w:gridSpan w:val="2"/>
            <w:tcBorders>
              <w:top w:val="nil"/>
              <w:left w:val="nil"/>
              <w:bottom w:val="single" w:color="auto" w:sz="4" w:space="0"/>
              <w:right w:val="single" w:color="auto" w:sz="4" w:space="0"/>
            </w:tcBorders>
            <w:shd w:val="clear" w:color="auto" w:fill="auto"/>
          </w:tcPr>
          <w:p>
            <w:pPr>
              <w:widowControl/>
              <w:spacing w:beforeLines="100"/>
              <w:jc w:val="center"/>
              <w:rPr>
                <w:rFonts w:ascii="宋体" w:hAnsi="宋体" w:cs="宋体"/>
                <w:b/>
                <w:bCs/>
                <w:color w:val="000000"/>
                <w:kern w:val="0"/>
                <w:sz w:val="22"/>
                <w:szCs w:val="22"/>
              </w:rPr>
            </w:pPr>
            <w:r>
              <w:rPr>
                <w:rFonts w:hint="eastAsia" w:ascii="宋体" w:hAnsi="宋体" w:cs="宋体"/>
                <w:b/>
                <w:bCs/>
                <w:color w:val="000000"/>
                <w:kern w:val="0"/>
                <w:sz w:val="22"/>
                <w:szCs w:val="22"/>
              </w:rPr>
              <w:t>125.65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97.69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136.17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108.21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27.96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编制部门：青格达湖卫生院</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总计</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102.18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hint="eastAsia" w:ascii="Default" w:hAnsi="Default" w:cs="Default" w:eastAsiaTheme="minorEastAsia"/>
                <w:color w:val="000000"/>
                <w:kern w:val="0"/>
                <w:sz w:val="20"/>
                <w:szCs w:val="20"/>
              </w:rPr>
            </w:pPr>
            <w:r>
              <w:rPr>
                <w:rFonts w:hint="eastAsia" w:ascii="Default" w:hAnsi="Default" w:cs="Default" w:eastAsiaTheme="minorEastAsia"/>
                <w:color w:val="000000"/>
                <w:kern w:val="0"/>
                <w:sz w:val="20"/>
                <w:szCs w:val="20"/>
              </w:rPr>
              <w:t>087001-青格达湖卫生院</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102.18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102.18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24.17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100" w:firstLineChars="50"/>
              <w:rPr>
                <w:rFonts w:ascii="宋体" w:hAnsi="宋体" w:cs="宋体"/>
                <w:color w:val="000000"/>
                <w:kern w:val="0"/>
                <w:sz w:val="20"/>
                <w:szCs w:val="20"/>
              </w:rPr>
            </w:pPr>
            <w:r>
              <w:rPr>
                <w:rFonts w:hint="eastAsia" w:ascii="宋体" w:hAnsi="宋体" w:cs="宋体"/>
                <w:color w:val="000000"/>
                <w:kern w:val="0"/>
                <w:sz w:val="20"/>
                <w:szCs w:val="20"/>
              </w:rPr>
              <w:t xml:space="preserve">     10.52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100" w:firstLineChars="50"/>
              <w:rPr>
                <w:rFonts w:ascii="宋体" w:hAnsi="宋体" w:cs="宋体"/>
                <w:color w:val="000000"/>
                <w:kern w:val="0"/>
                <w:sz w:val="20"/>
                <w:szCs w:val="20"/>
              </w:rPr>
            </w:pPr>
            <w:r>
              <w:rPr>
                <w:rFonts w:hint="eastAsia" w:ascii="宋体" w:hAnsi="宋体" w:cs="宋体"/>
                <w:color w:val="000000"/>
                <w:kern w:val="0"/>
                <w:sz w:val="20"/>
                <w:szCs w:val="20"/>
              </w:rPr>
              <w:t xml:space="preserve">     10.52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71"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5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0.02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0.02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1.43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1.43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102.18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550"/>
        <w:gridCol w:w="308"/>
        <w:gridCol w:w="325"/>
        <w:gridCol w:w="667"/>
        <w:gridCol w:w="1640"/>
        <w:gridCol w:w="860"/>
        <w:gridCol w:w="52"/>
        <w:gridCol w:w="425"/>
        <w:gridCol w:w="567"/>
        <w:gridCol w:w="142"/>
        <w:gridCol w:w="850"/>
        <w:gridCol w:w="263"/>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9"/>
            <w:tcBorders>
              <w:top w:val="nil"/>
              <w:left w:val="nil"/>
              <w:bottom w:val="nil"/>
              <w:right w:val="nil"/>
            </w:tcBorders>
            <w:shd w:val="clear" w:color="auto" w:fill="auto"/>
            <w:noWrap/>
            <w:vAlign w:val="center"/>
          </w:tcPr>
          <w:p>
            <w:pPr>
              <w:widowControl/>
              <w:ind w:firstLine="3213" w:firstLineChars="10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编制部门：青格达湖卫生院</w:t>
            </w:r>
          </w:p>
        </w:tc>
        <w:tc>
          <w:tcPr>
            <w:tcW w:w="104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33"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667"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640"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912"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0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26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58"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08"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25"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66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6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912"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6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55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总计　</w:t>
            </w:r>
          </w:p>
        </w:tc>
        <w:tc>
          <w:tcPr>
            <w:tcW w:w="3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2" w:type="dxa"/>
            <w:gridSpan w:val="2"/>
            <w:shd w:val="clear" w:color="auto" w:fill="auto"/>
          </w:tcPr>
          <w:p>
            <w:pPr>
              <w:widowControl/>
              <w:spacing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27.96</w:t>
            </w:r>
          </w:p>
        </w:tc>
        <w:tc>
          <w:tcPr>
            <w:tcW w:w="425" w:type="dxa"/>
            <w:shd w:val="clear" w:color="auto" w:fill="auto"/>
          </w:tcPr>
          <w:p>
            <w:pPr>
              <w:widowControl/>
              <w:spacing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spacing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18.00</w:t>
            </w:r>
          </w:p>
        </w:tc>
        <w:tc>
          <w:tcPr>
            <w:tcW w:w="850" w:type="dxa"/>
            <w:shd w:val="clear" w:color="auto" w:fill="auto"/>
          </w:tcPr>
          <w:p>
            <w:pPr>
              <w:widowControl/>
              <w:spacing w:beforeLines="2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9.96</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5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7" w:type="dxa"/>
            <w:shd w:val="clear" w:color="auto" w:fill="auto"/>
          </w:tcPr>
          <w:p>
            <w:pPr>
              <w:widowControl/>
              <w:jc w:val="left"/>
              <w:rPr>
                <w:rFonts w:ascii="仿宋_GB2312" w:hAnsi="宋体" w:eastAsia="仿宋_GB2312"/>
                <w:kern w:val="0"/>
                <w:szCs w:val="21"/>
              </w:rPr>
            </w:pPr>
            <w:r>
              <w:rPr>
                <w:rFonts w:hint="eastAsia" w:ascii="仿宋_GB2312" w:hAnsi="宋体" w:eastAsia="仿宋_GB2312"/>
                <w:kern w:val="0"/>
                <w:sz w:val="32"/>
                <w:szCs w:val="32"/>
              </w:rPr>
              <w:t>　</w:t>
            </w:r>
            <w:r>
              <w:rPr>
                <w:rFonts w:hint="eastAsia" w:ascii="仿宋_GB2312" w:hAnsi="宋体" w:eastAsia="仿宋_GB2312"/>
                <w:kern w:val="0"/>
                <w:szCs w:val="21"/>
              </w:rPr>
              <w:t>青格达湖卫生院</w:t>
            </w:r>
          </w:p>
        </w:tc>
        <w:tc>
          <w:tcPr>
            <w:tcW w:w="16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2" w:type="dxa"/>
            <w:gridSpan w:val="2"/>
            <w:shd w:val="clear" w:color="auto" w:fill="auto"/>
          </w:tcPr>
          <w:p>
            <w:pPr>
              <w:widowControl/>
              <w:spacing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27.96</w:t>
            </w:r>
          </w:p>
        </w:tc>
        <w:tc>
          <w:tcPr>
            <w:tcW w:w="425" w:type="dxa"/>
            <w:shd w:val="clear" w:color="auto" w:fill="auto"/>
          </w:tcPr>
          <w:p>
            <w:pPr>
              <w:widowControl/>
              <w:spacing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spacing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18.00</w:t>
            </w:r>
          </w:p>
        </w:tc>
        <w:tc>
          <w:tcPr>
            <w:tcW w:w="850" w:type="dxa"/>
            <w:shd w:val="clear" w:color="auto" w:fill="auto"/>
          </w:tcPr>
          <w:p>
            <w:pPr>
              <w:widowControl/>
              <w:spacing w:beforeLines="2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9.96</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210　</w:t>
            </w:r>
          </w:p>
        </w:tc>
        <w:tc>
          <w:tcPr>
            <w:tcW w:w="30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03　</w:t>
            </w:r>
          </w:p>
        </w:tc>
        <w:tc>
          <w:tcPr>
            <w:tcW w:w="3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6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乡镇卫生院</w:t>
            </w:r>
          </w:p>
        </w:tc>
        <w:tc>
          <w:tcPr>
            <w:tcW w:w="1640" w:type="dxa"/>
            <w:shd w:val="clear" w:color="auto" w:fill="auto"/>
          </w:tcPr>
          <w:p>
            <w:pPr>
              <w:widowControl/>
              <w:spacing w:beforeLines="100" w:line="276" w:lineRule="auto"/>
              <w:jc w:val="center"/>
              <w:rPr>
                <w:rFonts w:ascii="仿宋_GB2312" w:hAnsi="宋体" w:eastAsia="仿宋_GB2312"/>
                <w:kern w:val="0"/>
                <w:szCs w:val="21"/>
              </w:rPr>
            </w:pPr>
            <w:r>
              <w:rPr>
                <w:rFonts w:hint="eastAsia" w:ascii="仿宋_GB2312" w:hAnsi="宋体" w:eastAsia="仿宋_GB2312"/>
                <w:kern w:val="0"/>
                <w:szCs w:val="21"/>
              </w:rPr>
              <w:t>安保人员工资</w:t>
            </w:r>
          </w:p>
        </w:tc>
        <w:tc>
          <w:tcPr>
            <w:tcW w:w="912"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9.00</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9.00</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210　</w:t>
            </w:r>
          </w:p>
        </w:tc>
        <w:tc>
          <w:tcPr>
            <w:tcW w:w="30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03　</w:t>
            </w:r>
          </w:p>
        </w:tc>
        <w:tc>
          <w:tcPr>
            <w:tcW w:w="3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6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乡镇卫生院</w:t>
            </w:r>
          </w:p>
        </w:tc>
        <w:tc>
          <w:tcPr>
            <w:tcW w:w="1640" w:type="dxa"/>
            <w:shd w:val="clear" w:color="auto" w:fill="auto"/>
          </w:tcPr>
          <w:p>
            <w:pPr>
              <w:spacing w:beforeLines="100"/>
            </w:pPr>
            <w:r>
              <w:rPr>
                <w:rFonts w:hint="eastAsia" w:ascii="仿宋_GB2312" w:hAnsi="宋体" w:eastAsia="仿宋_GB2312"/>
                <w:kern w:val="0"/>
                <w:szCs w:val="21"/>
              </w:rPr>
              <w:t>基层干部补助</w:t>
            </w:r>
          </w:p>
        </w:tc>
        <w:tc>
          <w:tcPr>
            <w:tcW w:w="912"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0.96</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0.96</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210　</w:t>
            </w:r>
          </w:p>
        </w:tc>
        <w:tc>
          <w:tcPr>
            <w:tcW w:w="30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03　</w:t>
            </w:r>
          </w:p>
        </w:tc>
        <w:tc>
          <w:tcPr>
            <w:tcW w:w="3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6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乡镇卫生院</w:t>
            </w:r>
          </w:p>
        </w:tc>
        <w:tc>
          <w:tcPr>
            <w:tcW w:w="1640" w:type="dxa"/>
            <w:shd w:val="clear" w:color="auto" w:fill="auto"/>
          </w:tcPr>
          <w:p>
            <w:pPr>
              <w:rPr>
                <w:rFonts w:eastAsia="仿宋_GB2312"/>
              </w:rPr>
            </w:pPr>
            <w:r>
              <w:rPr>
                <w:rFonts w:hint="eastAsia" w:ascii="仿宋_GB2312" w:hAnsi="宋体" w:eastAsia="仿宋_GB2312"/>
                <w:kern w:val="0"/>
                <w:szCs w:val="21"/>
              </w:rPr>
              <w:t>药品、化验材料、卫生材料等业务经费</w:t>
            </w:r>
          </w:p>
        </w:tc>
        <w:tc>
          <w:tcPr>
            <w:tcW w:w="912"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18.00</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18.00</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编制单位：青格达湖卫生院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备注：本单位无一般公共预算“三公”经费支出。</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编制单位：青格达湖卫生院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outlineLvl w:val="1"/>
        <w:rPr>
          <w:rFonts w:ascii="仿宋_GB2312" w:hAnsi="宋体" w:eastAsia="仿宋_GB2312"/>
          <w:b/>
          <w:kern w:val="0"/>
          <w:sz w:val="28"/>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备注：本单位无政府性基金预算</w:t>
      </w:r>
    </w:p>
    <w:p>
      <w:pPr>
        <w:widowControl/>
        <w:spacing w:beforeLines="50"/>
        <w:ind w:firstLine="1600" w:firstLineChars="500"/>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关于青格达湖卫生院2019年收支预算情况的总体说明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按照全口径预算的原则，青格达湖卫生院2019年所有收入和支出均纳入部门预算管理。收支总预算136.17万元。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收入预算包括：一般公共预算136.17万元。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支出预算包括：社会保障和就业支出10.52万元、医疗卫生与计划生育支出125.65万元。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二、关于青格达湖卫生院部门2019年收入预算情况说明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青格达湖卫生院部门收入预算1361700元，其中：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一般公共预算136.17万元，占100 %，比上年减少3.32万元，主要原因是医疗收入减少。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三、关于青格达湖卫生院部门单位2019年支出预算情况说明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青格达湖卫生院部门单位2019年支出预算 1361700元，其中：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108.21 万元，占 79.47 %，比上年减少9.6万元，主要原因是医疗支出减少。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项目支出27.96万元，占 20.53%，比上年增加5.88万元，主要原因是药品等业务经费增加。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青格达湖</w:t>
      </w:r>
      <w:r>
        <w:rPr>
          <w:rFonts w:hint="eastAsia" w:ascii="黑体" w:hAnsi="黑体" w:eastAsia="黑体" w:cs="宋体"/>
          <w:bCs/>
          <w:kern w:val="0"/>
          <w:sz w:val="32"/>
          <w:szCs w:val="32"/>
        </w:rPr>
        <w:t>卫生院部门2019年财政拨款收支预算情况的总体说明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2019年财政拨款收支总预算136.17万元。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五、关于青格达湖卫生院部门2019年一般公共预算当年拨款情况说明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青格达湖卫生院部门2019年一般公共预算拨款基本支出 136.17万元，比上年执行数减少3.32万元，下降2.37%。主要原因是：医疗支出减少。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idowControl/>
        <w:adjustRightInd w:val="0"/>
        <w:snapToGrid w:val="0"/>
        <w:spacing w:after="200" w:line="46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1.社会保障和就业支出10.52万元，占7.73%。</w:t>
      </w:r>
    </w:p>
    <w:p>
      <w:pPr>
        <w:spacing w:line="580" w:lineRule="exact"/>
        <w:ind w:firstLine="642"/>
        <w:rPr>
          <w:rFonts w:ascii="仿宋_GB2312" w:eastAsia="仿宋_GB2312"/>
          <w:b/>
          <w:sz w:val="32"/>
          <w:szCs w:val="32"/>
        </w:rPr>
      </w:pPr>
      <w:r>
        <w:rPr>
          <w:rFonts w:hint="eastAsia" w:ascii="仿宋_GB2312" w:hAnsi="宋体" w:eastAsia="仿宋_GB2312" w:cs="宋体"/>
          <w:kern w:val="0"/>
          <w:sz w:val="32"/>
          <w:szCs w:val="32"/>
        </w:rPr>
        <w:t>2.医疗卫生与计划生育支出125.65万元，占92.27%。</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　社会保障和就业支出（类）行政事业单位离退休（款）机关事业单位基本养老保险缴费支出（项）2019年预算数为10.52万元，比上年执行数减少0.75万元，减少6.65%，主要原因是在职人员减少。</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2.医疗卫生与计划生育支出（类）基层医疗卫生机构（款）乡镇卫生院（项）2019年预算数为125.65万元，比上年执行数减少2.97万元，减少2.31%，主要原因是就诊人次减少导致医疗收入、支出也有所减少。</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六、关于青格达湖卫生院部门2019年一般公共预算基本支出情况说明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青格达湖卫生院部门2019年一般公共预算基本支出108.21万元，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102.18万元，主要包括：基本工资24.17万元、津贴补贴7.55万元、奖金14.40万元、绩效工资29.60万元、机关事业单位基本养老保险缴费10.52万元、职工基本医疗保险缴费4.73万元、公务员医疗补助缴费1.05万元、其他社会保障缴费1.16万元、住房公积金9.00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6.03万元，主要包括：办公费0.37万元、水费0.23万元、电费0.47万元、邮电费0.27万元、取暖费1.19万元、差旅费0.58万元、维修（护）费0.02万元、培训费0.79万元、专用材料费0.04万元、工会经费0.62万元、福利费1.43万元、其他商品和服务支出0.02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七、关于青格达湖卫生院部门2019年项目支出情况说明</w:t>
      </w:r>
    </w:p>
    <w:p>
      <w:pPr>
        <w:widowControl/>
        <w:adjustRightInd w:val="0"/>
        <w:snapToGrid w:val="0"/>
        <w:spacing w:after="200" w:line="460" w:lineRule="exact"/>
        <w:ind w:firstLine="960" w:firstLineChars="300"/>
        <w:jc w:val="left"/>
        <w:outlineLvl w:val="1"/>
        <w:rPr>
          <w:rFonts w:hint="eastAsia" w:ascii="宋体" w:hAnsi="宋体" w:cs="宋体"/>
          <w:kern w:val="0"/>
          <w:sz w:val="32"/>
          <w:szCs w:val="32"/>
        </w:rPr>
      </w:pPr>
      <w:r>
        <w:rPr>
          <w:rFonts w:hint="eastAsia" w:ascii="仿宋_GB2312" w:hAnsi="宋体" w:eastAsia="仿宋_GB2312" w:cs="宋体"/>
          <w:kern w:val="0"/>
          <w:sz w:val="32"/>
          <w:szCs w:val="32"/>
        </w:rPr>
        <w:t>1、项目名称：药品、化验材料、卫生材料</w:t>
      </w:r>
      <w:r>
        <w:rPr>
          <w:rFonts w:hint="eastAsia" w:ascii="宋体" w:hAnsi="宋体" w:cs="宋体"/>
          <w:kern w:val="0"/>
          <w:sz w:val="32"/>
          <w:szCs w:val="32"/>
        </w:rPr>
        <w:t>等费用</w:t>
      </w:r>
    </w:p>
    <w:p>
      <w:pPr>
        <w:widowControl/>
        <w:adjustRightInd w:val="0"/>
        <w:snapToGrid w:val="0"/>
        <w:spacing w:after="200" w:line="460" w:lineRule="exact"/>
        <w:ind w:firstLine="960" w:firstLineChars="300"/>
        <w:jc w:val="left"/>
        <w:outlineLvl w:val="1"/>
        <w:rPr>
          <w:rFonts w:hint="eastAsia" w:ascii="宋体" w:hAnsi="宋体" w:cs="宋体"/>
          <w:kern w:val="0"/>
          <w:sz w:val="32"/>
          <w:szCs w:val="32"/>
        </w:rPr>
      </w:pPr>
      <w:r>
        <w:rPr>
          <w:rFonts w:hint="eastAsia" w:ascii="宋体" w:hAnsi="宋体" w:cs="宋体"/>
          <w:kern w:val="0"/>
          <w:sz w:val="32"/>
          <w:szCs w:val="32"/>
          <w:lang w:val="en-US" w:eastAsia="zh-CN"/>
        </w:rPr>
        <w:t>设立的政策依据：按照核定标准发放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预算安排规模：18万元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项目承担单位：新特药、九州通、天山红等药品公司</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资金分配情况：按照实际采购药品、试剂的款项进行支付</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资金执行时间：2019年1月-12月</w:t>
      </w:r>
    </w:p>
    <w:p>
      <w:pPr>
        <w:widowControl/>
        <w:numPr>
          <w:ilvl w:val="0"/>
          <w:numId w:val="1"/>
        </w:numPr>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项目名称：安保人员工资</w:t>
      </w:r>
    </w:p>
    <w:p>
      <w:pPr>
        <w:widowControl/>
        <w:adjustRightInd w:val="0"/>
        <w:snapToGrid w:val="0"/>
        <w:spacing w:after="200" w:line="460" w:lineRule="exact"/>
        <w:ind w:firstLine="960" w:firstLineChars="300"/>
        <w:jc w:val="left"/>
        <w:outlineLvl w:val="1"/>
        <w:rPr>
          <w:rFonts w:hint="default" w:ascii="仿宋_GB2312" w:hAnsi="宋体" w:eastAsia="仿宋_GB2312" w:cs="宋体"/>
          <w:kern w:val="0"/>
          <w:sz w:val="32"/>
          <w:szCs w:val="32"/>
          <w:lang w:val="en-US" w:eastAsia="zh-CN"/>
        </w:rPr>
      </w:pPr>
      <w:r>
        <w:rPr>
          <w:rFonts w:hint="eastAsia" w:ascii="宋体" w:hAnsi="宋体" w:cs="宋体"/>
          <w:kern w:val="0"/>
          <w:sz w:val="32"/>
          <w:szCs w:val="32"/>
          <w:lang w:val="en-US" w:eastAsia="zh-CN"/>
        </w:rPr>
        <w:t>设立的政策依据：按照核定标准发放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预算安排规模：9万元。</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资金分配情况：3名安保人员工资9万元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资金执行时间：2019年1月-12月</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补贴人数：安保3名</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补贴标准：安保工资按月发放，每人每月2500元。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补贴范围：单位聘用的3名安保人员</w:t>
      </w:r>
    </w:p>
    <w:p>
      <w:pPr>
        <w:widowControl/>
        <w:numPr>
          <w:ilvl w:val="0"/>
          <w:numId w:val="1"/>
        </w:numPr>
        <w:adjustRightInd w:val="0"/>
        <w:snapToGrid w:val="0"/>
        <w:spacing w:after="200" w:line="460" w:lineRule="exact"/>
        <w:ind w:left="0" w:leftChars="0"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项目名称：基层岗位津贴</w:t>
      </w:r>
    </w:p>
    <w:p>
      <w:pPr>
        <w:widowControl/>
        <w:adjustRightInd w:val="0"/>
        <w:snapToGrid w:val="0"/>
        <w:spacing w:after="200" w:line="460" w:lineRule="exact"/>
        <w:ind w:firstLine="960" w:firstLineChars="300"/>
        <w:jc w:val="left"/>
        <w:outlineLvl w:val="1"/>
        <w:rPr>
          <w:rFonts w:hint="default" w:ascii="仿宋_GB2312" w:hAnsi="宋体" w:eastAsia="仿宋_GB2312" w:cs="宋体"/>
          <w:kern w:val="0"/>
          <w:sz w:val="32"/>
          <w:szCs w:val="32"/>
          <w:lang w:val="en-US" w:eastAsia="zh-CN"/>
        </w:rPr>
      </w:pPr>
      <w:r>
        <w:rPr>
          <w:rFonts w:hint="eastAsia" w:ascii="宋体" w:hAnsi="宋体" w:cs="宋体"/>
          <w:kern w:val="0"/>
          <w:sz w:val="32"/>
          <w:szCs w:val="32"/>
          <w:lang w:val="en-US" w:eastAsia="zh-CN"/>
        </w:rPr>
        <w:t>设立的政策依据：按照核定标准发放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预算安排规模：0.96万元。</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资金分配情况：8名干部的基层岗位津贴为0.96万元。</w:t>
      </w:r>
      <w:bookmarkStart w:id="0" w:name="_GoBack"/>
      <w:bookmarkEnd w:id="0"/>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资金执行时间：2019年1月-12月</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补贴人数：干部8名</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补贴标准：基本岗位津贴按月发放，每人每月100元。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补贴范围：单位在编的干部8人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八、关于青格达湖卫生院部门2019年一般公共预算“三公”经费预算情况说明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青格达湖卫生院2019 年“三公”经费财政拨款预算数为 0万元，其中：因公出国（境）费 0 万元，公务用车购置 0 万元， 公务用车运行费 0万元，公务接待费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 年“三公”经费财政拨款预算比上年减少0 万元，其中： 其中：因公出国（境）费增加 0 万元，主要原因是与上年一致，未安排预算；公务用车购置费增加 0 万元，主要原因是与上年一致，未安排预算；公务用车运行费增加0 万元，主要原因是与上年一致；公务 接待费增加 0 万元，主要原因是与上年一致，未安排预算。</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九、关于青格达湖卫生院部门2019年政府性基金预算拨款情况说明</w:t>
      </w:r>
    </w:p>
    <w:p>
      <w:pPr>
        <w:widowControl/>
        <w:adjustRightInd w:val="0"/>
        <w:snapToGrid w:val="0"/>
        <w:spacing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青格达湖卫生院2019年没有使用政府性基金预算拨款安排的支出，政府性基金预算支出情况表为空表。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2019年，青格达湖卫生院本级及下属0家行政单位、0家参公管理事业单位和1家事业单位的机关运行经费财政拨款预算27.96万元，比上年预算增加5.88万元，增长26.63%。主要原因是药品等业务经费增加。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2019年，青格达湖卫生院部门及下属单位政府采购预算0万元，其中：政府采购货物预算0万元，政府采购工程预算0万元，政府采购服务预算0万元。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截至2018年底，青格达湖卫生院部门及下属各预算单位占用使用国有资产总体情况为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总资产价值：130.73万元</w:t>
      </w:r>
    </w:p>
    <w:p>
      <w:pPr>
        <w:widowControl/>
        <w:shd w:val="clear" w:color="auto" w:fill="FFFFFF"/>
        <w:spacing w:before="100" w:beforeAutospacing="1" w:after="100" w:afterAutospacing="1" w:line="315"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1.房屋492平方米，价值96.57万元。</w:t>
      </w:r>
    </w:p>
    <w:p>
      <w:pPr>
        <w:widowControl/>
        <w:shd w:val="clear" w:color="auto" w:fill="FFFFFF"/>
        <w:spacing w:before="100" w:beforeAutospacing="1" w:after="100" w:afterAutospacing="1" w:line="315"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2.其他资产价值34.16万元。</w:t>
      </w:r>
    </w:p>
    <w:p>
      <w:pPr>
        <w:widowControl/>
        <w:shd w:val="clear" w:color="auto" w:fill="FFFFFF"/>
        <w:spacing w:before="100" w:beforeAutospacing="1" w:after="100" w:afterAutospacing="1" w:line="315"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hd w:val="clear" w:color="auto" w:fill="FFFFFF"/>
        <w:spacing w:before="100" w:beforeAutospacing="1" w:after="100" w:afterAutospacing="1" w:line="315"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0"/>
          <w:sz w:val="32"/>
          <w:szCs w:val="32"/>
        </w:rPr>
        <w:t>2019年度，本年度实行绩效管理的项目 3个，涉及预算金额 27.96万元。具体情况见下表：</w:t>
      </w: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9"/>
        <w:gridCol w:w="1155"/>
        <w:gridCol w:w="2120"/>
        <w:gridCol w:w="249"/>
        <w:gridCol w:w="249"/>
      </w:tblGrid>
      <w:tr>
        <w:tblPrEx>
          <w:tblLayout w:type="fixed"/>
          <w:tblCellMar>
            <w:top w:w="0" w:type="dxa"/>
            <w:left w:w="108" w:type="dxa"/>
            <w:bottom w:w="0" w:type="dxa"/>
            <w:right w:w="108" w:type="dxa"/>
          </w:tblCellMar>
        </w:tblPrEx>
        <w:trPr>
          <w:trHeight w:val="534"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14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青格达湖卫生院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药品、化验材料、卫生材料等费用</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提高医院医疗水平，医疗体系更加完善。</w:t>
            </w:r>
          </w:p>
        </w:tc>
      </w:tr>
      <w:tr>
        <w:tblPrEx>
          <w:tblLayout w:type="fixed"/>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19"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全年药品、化验材料、卫生材料等共需经费18万元</w:t>
            </w:r>
          </w:p>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全年药品、化验材料、卫生材料等共需经费18万元</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及时采购病人所需药品及检查材料等</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药品及化验材料卫生材料，及时更换，均为保质期之内材料。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全年材料费用18万元</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全年材料费用18万元</w:t>
            </w:r>
          </w:p>
        </w:tc>
      </w:tr>
      <w:tr>
        <w:tblPrEx>
          <w:tblLayout w:type="fixed"/>
          <w:tblCellMar>
            <w:top w:w="0" w:type="dxa"/>
            <w:left w:w="108" w:type="dxa"/>
            <w:bottom w:w="0" w:type="dxa"/>
            <w:right w:w="108" w:type="dxa"/>
          </w:tblCellMar>
        </w:tblPrEx>
        <w:trPr>
          <w:trHeight w:val="31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及时采购病人所需药品及检查材料等</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药品及其他材料均在保质期内使用</w:t>
            </w:r>
          </w:p>
          <w:p>
            <w:pPr>
              <w:widowControl/>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我院医疗收入增加，拉动经济增长</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我院医疗收入增加，拉动经济增长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提高我院医疗卫生服务水平</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提高我院医疗卫生服务水平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方便群众就医，提高诊断效率</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方便群众就医，提高诊断效率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提高为患者服务质量，拉动经济</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提高为患者服务质量，拉动经济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2"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vMerge w:val="restart"/>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群众满意度达标</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群众满意度达标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vMerge w:val="continue"/>
            <w:tcBorders>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青格达湖卫生院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安保人员工资</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充实基层力量，全力配合工作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我院共3名安保人员，全年共需安保人员工资9万元。</w:t>
            </w:r>
          </w:p>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我院共8名安保人员，全年共需安保人员工资24万元。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3名安保人员工资按月及时发放。</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3名安保人员工资按月及时发放。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3名安保人员每人每月2500元工资标准。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p>
            <w:pPr>
              <w:widowControl/>
              <w:jc w:val="center"/>
              <w:rPr>
                <w:rFonts w:ascii="宋体" w:hAnsi="宋体" w:cs="宋体"/>
                <w:kern w:val="0"/>
                <w:sz w:val="18"/>
                <w:szCs w:val="18"/>
              </w:rPr>
            </w:pPr>
            <w:r>
              <w:rPr>
                <w:rFonts w:hint="eastAsia" w:ascii="宋体" w:hAnsi="宋体" w:cs="宋体"/>
                <w:kern w:val="0"/>
                <w:sz w:val="18"/>
                <w:szCs w:val="18"/>
              </w:rPr>
              <w:t>3名安保人员每人每月2500元工资标准。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按上级要求按月发放2500元安保人员工资。</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按上级要求按月发放2500元安保人员工资。</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提高生活质量，拉动经济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提高生活质量，拉动经济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9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提高我院医疗服务水平</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提高我院医疗服务水平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vMerge w:val="restart"/>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充实基层力量，提高医疗环境标准　</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充实基层力量，提高医疗环境标准</w:t>
            </w:r>
          </w:p>
        </w:tc>
      </w:tr>
      <w:tr>
        <w:tblPrEx>
          <w:tblLayout w:type="fixed"/>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vMerge w:val="continue"/>
            <w:tcBorders>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提高为患者服务质量，拉动经济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提高为患者服务质量，拉动经济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群众满意度达标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群众满意度达标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青格达湖卫生院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基层岗位津贴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0.96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0.96</w:t>
            </w:r>
          </w:p>
        </w:tc>
        <w:tc>
          <w:tcPr>
            <w:tcW w:w="1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充实基层力量，提高基层为民服务质量。</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基层岗位津贴全年0.96万元　</w:t>
            </w:r>
          </w:p>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基层岗位津贴全年0.96万元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我单位8名在职人员没月按时发放</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我单位8名在职人员没月按时发放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我单位8名在职人员每人每月100元</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我单位8名在职人员每人每月100元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每月按上级要求按时发放</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每月按上级要求按时发放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提高医疗服务质量，拉动经济</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提高医疗服务质量，拉动经济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提高医疗服务水平，为群众服务。</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提高医疗服务水平，为群众服务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提高医疗服务水平，为群众服务。</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提高医疗服务水平，为群众服务。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群众满意度达标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群众满意度达标　</w:t>
            </w:r>
          </w:p>
        </w:tc>
      </w:tr>
    </w:tbl>
    <w:p>
      <w:pPr>
        <w:widowControl/>
        <w:spacing w:line="600" w:lineRule="exact"/>
        <w:rPr>
          <w:rFonts w:ascii="仿宋_GB2312" w:hAnsi="宋体" w:eastAsia="仿宋_GB2312" w:cs="宋体"/>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高新区（新市区）青格达湖卫生院</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宋体"/>
    <w:panose1 w:val="00000000000000000000"/>
    <w:charset w:val="86"/>
    <w:family w:val="script"/>
    <w:pitch w:val="default"/>
    <w:sig w:usb0="00000000" w:usb1="00000000" w:usb2="00000010" w:usb3="00000000" w:csb0="00040000" w:csb1="00000000"/>
  </w:font>
  <w:font w:name="Default">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BB868"/>
    <w:multiLevelType w:val="singleLevel"/>
    <w:tmpl w:val="515BB8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0067C"/>
    <w:rsid w:val="000018C6"/>
    <w:rsid w:val="00003466"/>
    <w:rsid w:val="000167F4"/>
    <w:rsid w:val="0002229A"/>
    <w:rsid w:val="00023556"/>
    <w:rsid w:val="00035312"/>
    <w:rsid w:val="00036612"/>
    <w:rsid w:val="000413A4"/>
    <w:rsid w:val="00047D3D"/>
    <w:rsid w:val="00060DB6"/>
    <w:rsid w:val="00072C21"/>
    <w:rsid w:val="0007517B"/>
    <w:rsid w:val="00087B88"/>
    <w:rsid w:val="000B1E83"/>
    <w:rsid w:val="000E4652"/>
    <w:rsid w:val="000F191C"/>
    <w:rsid w:val="000F3537"/>
    <w:rsid w:val="000F68E4"/>
    <w:rsid w:val="000F7671"/>
    <w:rsid w:val="001015D1"/>
    <w:rsid w:val="001058A0"/>
    <w:rsid w:val="001533CF"/>
    <w:rsid w:val="001756AF"/>
    <w:rsid w:val="0018445B"/>
    <w:rsid w:val="00192A1C"/>
    <w:rsid w:val="001B77C5"/>
    <w:rsid w:val="001C6414"/>
    <w:rsid w:val="001D56B9"/>
    <w:rsid w:val="001E02B4"/>
    <w:rsid w:val="001F4A19"/>
    <w:rsid w:val="00237CB9"/>
    <w:rsid w:val="00242B52"/>
    <w:rsid w:val="0024470C"/>
    <w:rsid w:val="00270F00"/>
    <w:rsid w:val="00276D86"/>
    <w:rsid w:val="00285014"/>
    <w:rsid w:val="0029760A"/>
    <w:rsid w:val="002A0B86"/>
    <w:rsid w:val="002B3258"/>
    <w:rsid w:val="002B5144"/>
    <w:rsid w:val="002C20AA"/>
    <w:rsid w:val="002C7526"/>
    <w:rsid w:val="002D25F2"/>
    <w:rsid w:val="002E1101"/>
    <w:rsid w:val="002E1901"/>
    <w:rsid w:val="002E48B9"/>
    <w:rsid w:val="002F1BE3"/>
    <w:rsid w:val="00307988"/>
    <w:rsid w:val="00313788"/>
    <w:rsid w:val="00323686"/>
    <w:rsid w:val="00325B17"/>
    <w:rsid w:val="00354C27"/>
    <w:rsid w:val="00367B35"/>
    <w:rsid w:val="003749AC"/>
    <w:rsid w:val="0038551D"/>
    <w:rsid w:val="00386638"/>
    <w:rsid w:val="00390629"/>
    <w:rsid w:val="003A60CC"/>
    <w:rsid w:val="003B1313"/>
    <w:rsid w:val="003B1705"/>
    <w:rsid w:val="003C0F97"/>
    <w:rsid w:val="003E5F22"/>
    <w:rsid w:val="003F7671"/>
    <w:rsid w:val="00401CF6"/>
    <w:rsid w:val="00414FCA"/>
    <w:rsid w:val="004224C3"/>
    <w:rsid w:val="00462210"/>
    <w:rsid w:val="004854B9"/>
    <w:rsid w:val="0049168B"/>
    <w:rsid w:val="00491935"/>
    <w:rsid w:val="004B1EFC"/>
    <w:rsid w:val="004D213E"/>
    <w:rsid w:val="004D25A5"/>
    <w:rsid w:val="004D2BC5"/>
    <w:rsid w:val="004E2D77"/>
    <w:rsid w:val="005015E1"/>
    <w:rsid w:val="00501B45"/>
    <w:rsid w:val="00504ADA"/>
    <w:rsid w:val="005052EE"/>
    <w:rsid w:val="00523E32"/>
    <w:rsid w:val="00523EBD"/>
    <w:rsid w:val="0053155A"/>
    <w:rsid w:val="005369B5"/>
    <w:rsid w:val="005413BE"/>
    <w:rsid w:val="00554C17"/>
    <w:rsid w:val="0055624F"/>
    <w:rsid w:val="005704A6"/>
    <w:rsid w:val="005A017E"/>
    <w:rsid w:val="005C4D7A"/>
    <w:rsid w:val="005D11E6"/>
    <w:rsid w:val="005E5274"/>
    <w:rsid w:val="0060178F"/>
    <w:rsid w:val="006048B1"/>
    <w:rsid w:val="00610ECD"/>
    <w:rsid w:val="006219BA"/>
    <w:rsid w:val="0066768B"/>
    <w:rsid w:val="00684C8B"/>
    <w:rsid w:val="00692430"/>
    <w:rsid w:val="00692AAD"/>
    <w:rsid w:val="00694301"/>
    <w:rsid w:val="00697F15"/>
    <w:rsid w:val="006A2DF9"/>
    <w:rsid w:val="006C48E7"/>
    <w:rsid w:val="006E719C"/>
    <w:rsid w:val="006F2164"/>
    <w:rsid w:val="00703CC1"/>
    <w:rsid w:val="007040F8"/>
    <w:rsid w:val="00711F69"/>
    <w:rsid w:val="0072124A"/>
    <w:rsid w:val="007231E7"/>
    <w:rsid w:val="007271EB"/>
    <w:rsid w:val="00730AAF"/>
    <w:rsid w:val="007327E6"/>
    <w:rsid w:val="00733FD1"/>
    <w:rsid w:val="00746C99"/>
    <w:rsid w:val="007542F2"/>
    <w:rsid w:val="00756664"/>
    <w:rsid w:val="00773FF0"/>
    <w:rsid w:val="00780917"/>
    <w:rsid w:val="007A41E2"/>
    <w:rsid w:val="007B3004"/>
    <w:rsid w:val="007D75A1"/>
    <w:rsid w:val="007E1FE6"/>
    <w:rsid w:val="007F1CC9"/>
    <w:rsid w:val="00802410"/>
    <w:rsid w:val="00824EA8"/>
    <w:rsid w:val="008408F8"/>
    <w:rsid w:val="008478BB"/>
    <w:rsid w:val="00851F3C"/>
    <w:rsid w:val="00853F27"/>
    <w:rsid w:val="00880853"/>
    <w:rsid w:val="00883284"/>
    <w:rsid w:val="00884A57"/>
    <w:rsid w:val="008A392D"/>
    <w:rsid w:val="008B4D8E"/>
    <w:rsid w:val="008C5B7E"/>
    <w:rsid w:val="008D0E94"/>
    <w:rsid w:val="008F1118"/>
    <w:rsid w:val="008F3F12"/>
    <w:rsid w:val="009149D3"/>
    <w:rsid w:val="00927FE0"/>
    <w:rsid w:val="00930640"/>
    <w:rsid w:val="00935B93"/>
    <w:rsid w:val="009414FA"/>
    <w:rsid w:val="00943564"/>
    <w:rsid w:val="0094473E"/>
    <w:rsid w:val="00946C27"/>
    <w:rsid w:val="00957094"/>
    <w:rsid w:val="00964867"/>
    <w:rsid w:val="009702E5"/>
    <w:rsid w:val="00987005"/>
    <w:rsid w:val="009D3D94"/>
    <w:rsid w:val="009F309D"/>
    <w:rsid w:val="009F333B"/>
    <w:rsid w:val="00A12983"/>
    <w:rsid w:val="00A22913"/>
    <w:rsid w:val="00A22B1B"/>
    <w:rsid w:val="00A47B25"/>
    <w:rsid w:val="00A62CEA"/>
    <w:rsid w:val="00A82ED4"/>
    <w:rsid w:val="00A85CA4"/>
    <w:rsid w:val="00A95BFE"/>
    <w:rsid w:val="00A97150"/>
    <w:rsid w:val="00AA27D2"/>
    <w:rsid w:val="00AC0749"/>
    <w:rsid w:val="00AC0AD1"/>
    <w:rsid w:val="00AD1BE8"/>
    <w:rsid w:val="00AF00E9"/>
    <w:rsid w:val="00AF35E2"/>
    <w:rsid w:val="00B04822"/>
    <w:rsid w:val="00B11E96"/>
    <w:rsid w:val="00B23D92"/>
    <w:rsid w:val="00B31F46"/>
    <w:rsid w:val="00B4563F"/>
    <w:rsid w:val="00B53CD9"/>
    <w:rsid w:val="00B63BA5"/>
    <w:rsid w:val="00B807EF"/>
    <w:rsid w:val="00B83C60"/>
    <w:rsid w:val="00B87B30"/>
    <w:rsid w:val="00B91036"/>
    <w:rsid w:val="00B916F7"/>
    <w:rsid w:val="00BB6661"/>
    <w:rsid w:val="00BD18C6"/>
    <w:rsid w:val="00BE3688"/>
    <w:rsid w:val="00BF68C4"/>
    <w:rsid w:val="00C03E0D"/>
    <w:rsid w:val="00C137CB"/>
    <w:rsid w:val="00C2626B"/>
    <w:rsid w:val="00C612A1"/>
    <w:rsid w:val="00C71FE5"/>
    <w:rsid w:val="00CA0474"/>
    <w:rsid w:val="00CA400C"/>
    <w:rsid w:val="00CA7C9B"/>
    <w:rsid w:val="00CB39DD"/>
    <w:rsid w:val="00CB689C"/>
    <w:rsid w:val="00CC3983"/>
    <w:rsid w:val="00CF667D"/>
    <w:rsid w:val="00CF7726"/>
    <w:rsid w:val="00D04421"/>
    <w:rsid w:val="00D25034"/>
    <w:rsid w:val="00D51F8D"/>
    <w:rsid w:val="00D7222A"/>
    <w:rsid w:val="00D9353D"/>
    <w:rsid w:val="00DA0EE4"/>
    <w:rsid w:val="00DB0B4B"/>
    <w:rsid w:val="00DB6459"/>
    <w:rsid w:val="00DC7EE3"/>
    <w:rsid w:val="00DD1D76"/>
    <w:rsid w:val="00DE1AC6"/>
    <w:rsid w:val="00E11C22"/>
    <w:rsid w:val="00E156D4"/>
    <w:rsid w:val="00E17E9C"/>
    <w:rsid w:val="00E26502"/>
    <w:rsid w:val="00E30627"/>
    <w:rsid w:val="00E404B4"/>
    <w:rsid w:val="00E563F7"/>
    <w:rsid w:val="00E65A16"/>
    <w:rsid w:val="00E7706F"/>
    <w:rsid w:val="00E823AD"/>
    <w:rsid w:val="00E84964"/>
    <w:rsid w:val="00EA28BE"/>
    <w:rsid w:val="00EB3AFA"/>
    <w:rsid w:val="00EB679F"/>
    <w:rsid w:val="00ED7EB8"/>
    <w:rsid w:val="00EE5B28"/>
    <w:rsid w:val="00EF4173"/>
    <w:rsid w:val="00EF5078"/>
    <w:rsid w:val="00F021F8"/>
    <w:rsid w:val="00F37D6D"/>
    <w:rsid w:val="00F41470"/>
    <w:rsid w:val="00F66207"/>
    <w:rsid w:val="00F7204F"/>
    <w:rsid w:val="00F73E2B"/>
    <w:rsid w:val="00F77A1F"/>
    <w:rsid w:val="00FB1F76"/>
    <w:rsid w:val="00FB5C78"/>
    <w:rsid w:val="00FB65A1"/>
    <w:rsid w:val="00FC6ABD"/>
    <w:rsid w:val="00FD3DD2"/>
    <w:rsid w:val="09CA24F5"/>
    <w:rsid w:val="257C521C"/>
    <w:rsid w:val="2C5A6635"/>
    <w:rsid w:val="2E8F3924"/>
    <w:rsid w:val="343E1C42"/>
    <w:rsid w:val="37F409C7"/>
    <w:rsid w:val="3A6E0DBA"/>
    <w:rsid w:val="3DEF5ABA"/>
    <w:rsid w:val="3E6B548A"/>
    <w:rsid w:val="420F04B1"/>
    <w:rsid w:val="424D0EAA"/>
    <w:rsid w:val="425517E2"/>
    <w:rsid w:val="42784304"/>
    <w:rsid w:val="44170D0D"/>
    <w:rsid w:val="477C4F69"/>
    <w:rsid w:val="4E057748"/>
    <w:rsid w:val="539005B7"/>
    <w:rsid w:val="59BA507E"/>
    <w:rsid w:val="5C1F026F"/>
    <w:rsid w:val="6AC314CD"/>
    <w:rsid w:val="7104283A"/>
    <w:rsid w:val="71E55771"/>
    <w:rsid w:val="776A60A0"/>
    <w:rsid w:val="7B353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1708</Words>
  <Characters>9740</Characters>
  <Lines>81</Lines>
  <Paragraphs>22</Paragraphs>
  <TotalTime>1</TotalTime>
  <ScaleCrop>false</ScaleCrop>
  <LinksUpToDate>false</LinksUpToDate>
  <CharactersWithSpaces>11426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2019-03-03T09:34:00Z</dcterms:created>
  <dc:creator>王怡</dc:creator>
  <cp:lastModifiedBy>Administrator</cp:lastModifiedBy>
  <cp:lastPrinted>2019-03-04T04:26:00Z</cp:lastPrinted>
  <dcterms:modified xsi:type="dcterms:W3CDTF">2019-08-19T10:06:33Z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