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F0" w:rsidRDefault="006E5D1D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宋体"/>
          <w:b/>
          <w:bCs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b/>
          <w:bCs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b/>
          <w:bCs/>
          <w:kern w:val="0"/>
          <w:sz w:val="44"/>
          <w:szCs w:val="44"/>
        </w:rPr>
      </w:r>
      <w:r>
        <w:rPr>
          <w:rFonts w:ascii="方正小标宋_GBK" w:eastAsia="方正小标宋_GBK" w:hAnsi="宋体"/>
          <w:b/>
          <w:bCs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b/>
          <w:bCs/>
          <w:kern w:val="0"/>
          <w:sz w:val="44"/>
          <w:szCs w:val="44"/>
        </w:rPr>
        <w:t>高新区（新市区）园林队</w:t>
      </w:r>
    </w:p>
    <w:p w:rsidR="007F00F0" w:rsidRDefault="006E5D1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b/>
          <w:bCs/>
          <w:kern w:val="0"/>
          <w:sz w:val="44"/>
          <w:szCs w:val="44"/>
        </w:rPr>
        <w:t>年部门预算公开</w:t>
      </w:r>
    </w:p>
    <w:p w:rsidR="007F00F0" w:rsidRDefault="006E5D1D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7F00F0" w:rsidRDefault="007F00F0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乌鲁木齐高新技术产业开发区（乌鲁木齐市新市区）园林队单位概况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三、关于乌鲁木齐高新技</w:t>
      </w:r>
      <w:r>
        <w:rPr>
          <w:rFonts w:ascii="仿宋_GB2312" w:eastAsia="仿宋_GB2312" w:hAnsi="宋体" w:hint="eastAsia"/>
          <w:kern w:val="0"/>
          <w:sz w:val="32"/>
          <w:szCs w:val="32"/>
        </w:rPr>
        <w:t>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九、关于乌鲁木齐高新技术产业开发区（乌鲁木齐市新市区）园林队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7F00F0" w:rsidRDefault="006E5D1D">
      <w:pPr>
        <w:widowControl/>
        <w:spacing w:line="460" w:lineRule="exact"/>
        <w:outlineLvl w:val="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名词解释</w:t>
      </w:r>
    </w:p>
    <w:p w:rsidR="007F00F0" w:rsidRDefault="007F00F0">
      <w:pPr>
        <w:widowControl/>
        <w:jc w:val="center"/>
        <w:outlineLvl w:val="1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7F00F0" w:rsidRDefault="006E5D1D">
      <w:pPr>
        <w:widowControl/>
        <w:jc w:val="center"/>
        <w:outlineLvl w:val="1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第一部分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乌鲁木齐高新技术产业开发区（乌鲁木齐市新市区）园林队单位概况</w:t>
      </w:r>
    </w:p>
    <w:p w:rsidR="007F00F0" w:rsidRDefault="007F00F0">
      <w:pPr>
        <w:widowControl/>
        <w:jc w:val="center"/>
        <w:outlineLvl w:val="1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7F00F0" w:rsidRDefault="006E5D1D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一、主要职能</w:t>
      </w:r>
    </w:p>
    <w:p w:rsidR="007F00F0" w:rsidRDefault="006E5D1D">
      <w:pPr>
        <w:pStyle w:val="a6"/>
        <w:shd w:val="clear" w:color="auto" w:fill="FFFFFF"/>
        <w:spacing w:line="315" w:lineRule="atLeas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、贯彻执行国家、自治区和乌鲁木齐市有关园林绿化的法律、法规及管理条例。</w:t>
      </w:r>
    </w:p>
    <w:p w:rsidR="007F00F0" w:rsidRDefault="006E5D1D">
      <w:pPr>
        <w:pStyle w:val="a6"/>
        <w:shd w:val="clear" w:color="auto" w:fill="FFFFFF"/>
        <w:spacing w:line="315" w:lineRule="atLeas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、负责辖区内公共绿地、风景林地、防护绿地、行道树及干道绿化带的绿化。</w:t>
      </w:r>
    </w:p>
    <w:p w:rsidR="007F00F0" w:rsidRDefault="006E5D1D">
      <w:pPr>
        <w:pStyle w:val="a6"/>
        <w:shd w:val="clear" w:color="auto" w:fill="FFFFFF"/>
        <w:spacing w:line="315" w:lineRule="atLeas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、负责辖区园林绿地管护、园林花卉培育、园林绿地附属设施的保护及自建的公园绿化。</w:t>
      </w:r>
    </w:p>
    <w:p w:rsidR="007F00F0" w:rsidRDefault="006E5D1D">
      <w:pPr>
        <w:pStyle w:val="a6"/>
        <w:shd w:val="clear" w:color="auto" w:fill="FFFFFF"/>
        <w:spacing w:line="315" w:lineRule="atLeas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、负责组织、协调重大活动的绿化美化及环境布置活动，组织协调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各项目部做好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城市绿化工作。</w:t>
      </w:r>
    </w:p>
    <w:p w:rsidR="007F00F0" w:rsidRDefault="006E5D1D">
      <w:pPr>
        <w:pStyle w:val="a6"/>
        <w:shd w:val="clear" w:color="auto" w:fill="FFFFFF"/>
        <w:spacing w:line="315" w:lineRule="atLeast"/>
        <w:ind w:firstLine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、承办上级主管部门交办的其他工作。</w:t>
      </w:r>
    </w:p>
    <w:p w:rsidR="007F00F0" w:rsidRDefault="006E5D1D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二、机构设置及人员情况</w:t>
      </w:r>
    </w:p>
    <w:p w:rsidR="007F00F0" w:rsidRDefault="006E5D1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从预算单位构成看，乌鲁木齐高新技术产业开发区（乌鲁木齐市新市区）园林队的部门预算包括：本级预算及下属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家预算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单位在内的汇总预算。</w:t>
      </w:r>
    </w:p>
    <w:p w:rsidR="007F00F0" w:rsidRDefault="006E5D1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乌鲁木齐高新技术产业开发区（乌鲁木齐市新市区）园林队本级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4 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处室，分别是：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综合办公室、检查科、技术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科、人事劳资办公室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F00F0" w:rsidRDefault="006E5D1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本部门中，行政单位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家，纳入乌鲁木齐高新技术产业开发区（乌鲁木齐市新市区）园林队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年部门预算编制范围的二级预算单位包括：</w:t>
      </w:r>
    </w:p>
    <w:p w:rsidR="007F00F0" w:rsidRDefault="006E5D1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7F00F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F00F0" w:rsidRDefault="006E5D1D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7F00F0" w:rsidRDefault="006E5D1D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7F00F0" w:rsidRDefault="006E5D1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ind w:firstLineChars="600" w:firstLine="1080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18"/>
          <w:szCs w:val="18"/>
        </w:rPr>
        <w:t xml:space="preserve">      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2660"/>
        <w:gridCol w:w="1520"/>
        <w:gridCol w:w="2840"/>
        <w:gridCol w:w="1360"/>
      </w:tblGrid>
      <w:tr w:rsidR="007F09B4" w:rsidRPr="007F09B4" w:rsidTr="007F09B4">
        <w:trPr>
          <w:trHeight w:val="435"/>
        </w:trPr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7F09B4" w:rsidRPr="007F09B4" w:rsidTr="007F09B4">
        <w:trPr>
          <w:trHeight w:val="43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</w:tr>
      <w:tr w:rsidR="007F09B4" w:rsidRPr="007F09B4" w:rsidTr="007F09B4">
        <w:trPr>
          <w:trHeight w:val="7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</w:tr>
    </w:tbl>
    <w:p w:rsidR="007F09B4" w:rsidRDefault="007F09B4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</w:p>
    <w:p w:rsidR="007F00F0" w:rsidRDefault="006E5D1D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9B4" w:rsidRDefault="007F09B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7F00F0" w:rsidRDefault="006E5D1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4"/>
        </w:rPr>
        <w:t>填报部门：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ind w:firstLineChars="700" w:firstLine="1260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18"/>
          <w:szCs w:val="18"/>
        </w:rPr>
        <w:t xml:space="preserve"> 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700"/>
        <w:gridCol w:w="540"/>
        <w:gridCol w:w="600"/>
        <w:gridCol w:w="1860"/>
        <w:gridCol w:w="1080"/>
        <w:gridCol w:w="1000"/>
        <w:gridCol w:w="760"/>
        <w:gridCol w:w="560"/>
        <w:gridCol w:w="640"/>
        <w:gridCol w:w="600"/>
        <w:gridCol w:w="540"/>
        <w:gridCol w:w="540"/>
        <w:gridCol w:w="720"/>
      </w:tblGrid>
      <w:tr w:rsidR="007F09B4" w:rsidRPr="007F09B4" w:rsidTr="007F09B4">
        <w:trPr>
          <w:trHeight w:val="435"/>
        </w:trPr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7F09B4" w:rsidRPr="007F09B4" w:rsidTr="007F09B4">
        <w:trPr>
          <w:trHeight w:val="21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园林队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F09B4" w:rsidRDefault="007F09B4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</w:p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7F00F0" w:rsidRDefault="006E5D1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ind w:leftChars="510" w:left="5391" w:hangingChars="2400" w:hanging="4320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05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577"/>
        <w:gridCol w:w="400"/>
        <w:gridCol w:w="400"/>
        <w:gridCol w:w="2604"/>
        <w:gridCol w:w="1855"/>
        <w:gridCol w:w="1856"/>
        <w:gridCol w:w="1713"/>
      </w:tblGrid>
      <w:tr w:rsidR="007F00F0">
        <w:trPr>
          <w:trHeight w:val="3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7F00F0">
        <w:trPr>
          <w:trHeight w:val="480"/>
        </w:trPr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F00F0">
        <w:trPr>
          <w:trHeight w:val="2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园林队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1819.53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1204.53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公共安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全支出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其他公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共安全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其他公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共安全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138.51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社会保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障和就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机关事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基本养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老保险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81.21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1599.81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984.81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城乡社区环境卫生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1599.81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984.81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城乡社区环境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卫生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1599.81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984.81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</w:tr>
      <w:tr w:rsidR="007F00F0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1819.53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1204.53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0F0" w:rsidRDefault="006E5D1D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7F00F0" w:rsidRDefault="006E5D1D">
      <w:pPr>
        <w:widowControl/>
        <w:spacing w:beforeLines="50" w:before="120"/>
        <w:ind w:firstLineChars="700" w:firstLine="2249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spacing w:beforeLines="50" w:before="120"/>
        <w:ind w:firstLineChars="800" w:firstLine="144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060"/>
        <w:gridCol w:w="1200"/>
        <w:gridCol w:w="2740"/>
        <w:gridCol w:w="1120"/>
        <w:gridCol w:w="1180"/>
        <w:gridCol w:w="1000"/>
      </w:tblGrid>
      <w:tr w:rsidR="007F09B4" w:rsidRPr="007F09B4" w:rsidTr="007F09B4">
        <w:trPr>
          <w:trHeight w:val="255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7F09B4" w:rsidRPr="007F09B4" w:rsidTr="007F09B4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138.51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81.21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1,599.81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F09B4" w:rsidRPr="007F09B4" w:rsidTr="007F09B4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>1,819.53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9B4" w:rsidRPr="007F09B4" w:rsidRDefault="007F09B4" w:rsidP="007F09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9B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F09B4" w:rsidRDefault="007F09B4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  <w:bookmarkStart w:id="0" w:name="_GoBack"/>
      <w:bookmarkEnd w:id="0"/>
    </w:p>
    <w:p w:rsidR="007F00F0" w:rsidRDefault="006E5D1D">
      <w:pPr>
        <w:widowControl/>
        <w:outlineLvl w:val="1"/>
        <w:rPr>
          <w:rFonts w:ascii="仿宋_GB2312" w:eastAsia="仿宋_GB2312" w:hAnsi="宋体" w:hint="eastAsia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9B4" w:rsidRDefault="007F09B4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7F00F0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F00F0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outlineLvl w:val="1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乌鲁木齐高新技术产业开发区</w:t>
            </w:r>
          </w:p>
          <w:p w:rsidR="007F00F0" w:rsidRDefault="006E5D1D">
            <w:pPr>
              <w:widowControl/>
              <w:ind w:firstLineChars="700" w:firstLine="12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（乌鲁木齐市新市区）园林队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F00F0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7F00F0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F00F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园林队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1819.53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1204.53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615.00</w:t>
            </w: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公共安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全支出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其他公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共安全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204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99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其他公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共安全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138.51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社会保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障和就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社会保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障和就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机关事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业单位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基本养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老保险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1599.81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984.81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615.00</w:t>
            </w: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城乡社区环境卫生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1599.81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984.81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615.00</w:t>
            </w: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城乡社区环境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卫生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1599.81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984.81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615.00</w:t>
            </w:r>
          </w:p>
        </w:tc>
      </w:tr>
      <w:tr w:rsidR="007F00F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1819.53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1204.53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615.00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278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600"/>
        <w:gridCol w:w="684"/>
        <w:gridCol w:w="2891"/>
        <w:gridCol w:w="995"/>
        <w:gridCol w:w="706"/>
        <w:gridCol w:w="976"/>
        <w:gridCol w:w="725"/>
        <w:gridCol w:w="1701"/>
      </w:tblGrid>
      <w:tr w:rsidR="007F00F0">
        <w:trPr>
          <w:trHeight w:val="375"/>
        </w:trPr>
        <w:tc>
          <w:tcPr>
            <w:tcW w:w="9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7F00F0">
        <w:trPr>
          <w:trHeight w:val="405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outlineLvl w:val="1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乌鲁木齐高新技术产业开发区</w:t>
            </w:r>
          </w:p>
          <w:p w:rsidR="007F00F0" w:rsidRDefault="006E5D1D">
            <w:pPr>
              <w:widowControl/>
              <w:ind w:firstLineChars="600" w:firstLine="1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（乌鲁木齐市新市区）园林队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F00F0">
        <w:trPr>
          <w:trHeight w:val="390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7F00F0">
        <w:trPr>
          <w:trHeight w:val="495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7F00F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总计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1204.53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1052.71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151.82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834.78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1052.71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196.08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196.08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54.61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217.57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217.57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81.21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84.29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84.29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151.82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151.82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3.66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0.97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1.83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3.18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10.63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7.45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维修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护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0.28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6.09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0.32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4.91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11.30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lastRenderedPageBreak/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39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85.80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300" w:firstLine="600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85.80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15.40</w:t>
            </w: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对个人和家庭的补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217.93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left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303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78.92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13"/>
                <w:szCs w:val="13"/>
              </w:rPr>
              <w:t>0</w:t>
            </w:r>
            <w:r>
              <w:rPr>
                <w:rFonts w:ascii="宋体" w:hAnsi="宋体" w:cs="宋体" w:hint="eastAsia"/>
                <w:sz w:val="13"/>
                <w:szCs w:val="13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100" w:firstLine="130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sz w:val="13"/>
                <w:szCs w:val="13"/>
              </w:rPr>
              <w:t>303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138.51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7F00F0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ind w:firstLineChars="200" w:firstLine="40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1204.53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1052.71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151.82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55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8"/>
        <w:gridCol w:w="475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7F00F0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5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7F00F0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outlineLvl w:val="1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乌鲁木齐高新技术产业开发区</w:t>
            </w:r>
          </w:p>
          <w:p w:rsidR="007F00F0" w:rsidRDefault="006E5D1D">
            <w:pPr>
              <w:widowControl/>
              <w:ind w:firstLineChars="700" w:firstLine="12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（乌鲁木齐市新市区）园林队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77" w:type="dxa"/>
            <w:gridSpan w:val="4"/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7F00F0" w:rsidRDefault="006E5D1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83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园林队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3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3" w:type="dxa"/>
            <w:gridSpan w:val="2"/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212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45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3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3" w:type="dxa"/>
            <w:gridSpan w:val="2"/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212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456" w:type="dxa"/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季节性临时工劳务费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380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3" w:type="dxa"/>
            <w:gridSpan w:val="2"/>
            <w:shd w:val="clear" w:color="auto" w:fill="auto"/>
          </w:tcPr>
          <w:p w:rsidR="007F00F0" w:rsidRDefault="007F00F0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</w:p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212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城乡社区环境卫生</w:t>
            </w:r>
          </w:p>
        </w:tc>
        <w:tc>
          <w:tcPr>
            <w:tcW w:w="145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绿化水费、电费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3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F0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3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36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7F00F0" w:rsidRDefault="006E5D1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7F00F0" w:rsidRDefault="006E5D1D">
      <w:pPr>
        <w:widowControl/>
        <w:ind w:firstLineChars="400" w:firstLine="1285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4"/>
        </w:rPr>
        <w:lastRenderedPageBreak/>
        <w:t>编制单位：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ind w:firstLineChars="700" w:firstLine="1260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7F00F0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7F00F0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F00F0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00F0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00F0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无“三公”经费支出，“三公”经费支出情况表为空表。</w:t>
      </w:r>
    </w:p>
    <w:p w:rsidR="007F00F0" w:rsidRDefault="007F00F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F00F0" w:rsidRDefault="006E5D1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7F00F0" w:rsidRDefault="006E5D1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7F00F0" w:rsidRDefault="006E5D1D">
      <w:pPr>
        <w:widowControl/>
        <w:outlineLvl w:val="1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hint="eastAsia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乌鲁木齐高新技术产业开发区</w:t>
      </w:r>
    </w:p>
    <w:p w:rsidR="007F00F0" w:rsidRDefault="006E5D1D">
      <w:pPr>
        <w:widowControl/>
        <w:ind w:firstLineChars="700" w:firstLine="1260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（乌鲁木齐市新市区）园林队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7F00F0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7F00F0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7F00F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F00F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无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F00F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F00F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00F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F00F0" w:rsidRDefault="006E5D1D">
      <w:pPr>
        <w:widowControl/>
        <w:outlineLvl w:val="1"/>
        <w:rPr>
          <w:rFonts w:ascii="仿宋_GB2312" w:eastAsia="仿宋_GB2312" w:hAnsi="宋体"/>
          <w:kern w:val="0"/>
          <w:sz w:val="24"/>
        </w:rPr>
        <w:sectPr w:rsidR="007F00F0">
          <w:footerReference w:type="even" r:id="rId9"/>
          <w:footerReference w:type="default" r:id="rId10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>
        <w:rPr>
          <w:rFonts w:ascii="仿宋_GB2312" w:eastAsia="仿宋_GB2312" w:hAnsi="宋体" w:hint="eastAsia"/>
          <w:b/>
          <w:kern w:val="0"/>
          <w:sz w:val="24"/>
        </w:rPr>
        <w:t>无政府性基金预算支出，政府性基金预算支出情况表为空表。</w:t>
      </w:r>
    </w:p>
    <w:p w:rsidR="007F00F0" w:rsidRDefault="006E5D1D">
      <w:pPr>
        <w:widowControl/>
        <w:spacing w:beforeLines="50" w:before="156"/>
        <w:ind w:firstLineChars="400" w:firstLine="14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第三部分</w:t>
      </w:r>
      <w:r>
        <w:rPr>
          <w:rFonts w:ascii="黑体" w:eastAsia="黑体" w:hAnsi="黑体" w:hint="eastAsia"/>
          <w:kern w:val="0"/>
          <w:sz w:val="36"/>
          <w:szCs w:val="36"/>
        </w:rPr>
        <w:t xml:space="preserve">  2019</w:t>
      </w:r>
      <w:r>
        <w:rPr>
          <w:rFonts w:ascii="黑体" w:eastAsia="黑体" w:hAnsi="黑体" w:hint="eastAsia"/>
          <w:kern w:val="0"/>
          <w:sz w:val="36"/>
          <w:szCs w:val="36"/>
        </w:rPr>
        <w:t>年部门预算情况说明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1819.53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1819.53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1819.53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138.51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81.21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F00F0" w:rsidRDefault="006E5D1D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队收入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1819.53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1819.93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708.94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万元，主要原因是压缩预算资金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</w:p>
    <w:p w:rsidR="007F00F0" w:rsidRDefault="006E5D1D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三、关于乌鲁木齐高新技术产业开发区（乌鲁木齐市新市区）园林队单位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1819.53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1204.53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66.2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101.4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万元，主要原因是人员减少，压缩预算资金，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33.8 %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607.54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压缩财政预算拨款资金。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四、关于乌鲁木齐高新技术产业开发区（乌鲁木齐市新市区）园林队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1819.53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1819.53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万元。比上年执行数减少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38.96 %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仿宋_GB2312" w:cs="仿宋_GB2312" w:hint="eastAsia"/>
          <w:sz w:val="32"/>
          <w:szCs w:val="32"/>
        </w:rPr>
        <w:t>压缩财政预算拨款资金。</w:t>
      </w:r>
    </w:p>
    <w:p w:rsidR="007F00F0" w:rsidRDefault="006E5D1D">
      <w:pPr>
        <w:widowControl/>
        <w:spacing w:line="58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7F00F0" w:rsidRDefault="006E5D1D">
      <w:pPr>
        <w:spacing w:line="58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公共安全支出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（类）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138.51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7.61%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spacing w:line="58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社会保障和就业支出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（类）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4.46%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00F0" w:rsidRDefault="006E5D1D">
      <w:pPr>
        <w:spacing w:line="580" w:lineRule="exact"/>
        <w:ind w:firstLine="642"/>
        <w:rPr>
          <w:rFonts w:ascii="宋体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城乡社区支出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1599.81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87.93%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cs="宋体"/>
          <w:sz w:val="24"/>
        </w:rPr>
        <w:t xml:space="preserve"> 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、公共安全支出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类）其他公共安全支出（款）其他公共安全支出（项）：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年预算数为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138.51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万元，比上年执行数减少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19.89</w:t>
      </w:r>
      <w:r>
        <w:rPr>
          <w:rFonts w:ascii="仿宋_GB2312" w:eastAsia="仿宋_GB2312" w:hAnsi="仿宋_GB2312" w:cs="仿宋_GB2312" w:hint="eastAsia"/>
          <w:sz w:val="32"/>
          <w:szCs w:val="32"/>
        </w:rPr>
        <w:t>万，主要原因是人员减少。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、社会保障和就业支出（类）行政事业单位离退休（款）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事业单位基本养老保险缴费支出（项）：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年预算数为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81.21 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元。比上年执行数减少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9.64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万元，主要原因是人员减少。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、城乡社区支出（类）城乡社区环境卫生（款）城乡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社区环境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卫生（项）：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年预算数为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1599.81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万元，比上年执行数减少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679.41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万元，主要原因是压缩财政预算拨款资金。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1204.53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1052.71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196.08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54.61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102.6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217.57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81.21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73.88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16.42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8.12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84.29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万，对个人和家庭的补助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217.93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151.82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0.97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1.83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3.18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10.63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7.45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0.28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0.32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.91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11.30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万元、其他交通费用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85.8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万元等。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季节性临时工劳务费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设立的政策依据：根据绿化管养标准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380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项目承担单位：高新区（新市区）园林队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资金分配情况：按实际发生支付资金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、项目名称：绿化电费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、水费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设立的政策依据：根据绿化管养标准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项目承担单位：高新区（新市区）园林队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资金分配情况：按实际发生支付资金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伙食补助费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设立的政策依据：</w:t>
      </w:r>
      <w:r>
        <w:rPr>
          <w:rFonts w:ascii="仿宋_GB2312" w:eastAsia="仿宋_GB2312" w:hAnsi="仿宋_GB2312" w:cs="仿宋_GB2312" w:hint="eastAsia"/>
          <w:sz w:val="32"/>
        </w:rPr>
        <w:t>参照财政规定的补助标准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预算安排规模：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项目承担单位：高新区（新市区）园林队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资金分配情况：按实际发生支付资金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资金执行时间：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。公务用车购置费增加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主要原因是与上年一致，未安排预算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九、关于乌鲁木齐高新技术产业开发区（乌鲁木齐市新市区）园林队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年本级及下属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23.44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19 %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。主要原因是人员办公经费、车辆运行维护费增加。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（二）政府采购情况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年，乌鲁木齐高新技术产业开发区（乌鲁木齐市新市区）园林队及下属单位政府采购预算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 w:hint="eastAsia"/>
          <w:sz w:val="32"/>
        </w:rPr>
        <w:t xml:space="preserve"> 0</w:t>
      </w:r>
      <w:r>
        <w:rPr>
          <w:rFonts w:ascii="仿宋_GB2312" w:eastAsia="仿宋_GB2312" w:hAnsi="仿宋_GB2312" w:hint="eastAsia"/>
          <w:sz w:val="32"/>
        </w:rPr>
        <w:t>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</w:t>
      </w:r>
      <w:r>
        <w:rPr>
          <w:rFonts w:ascii="仿宋_GB2312" w:eastAsia="仿宋_GB2312" w:hAnsi="仿宋_GB2312" w:hint="eastAsia"/>
          <w:sz w:val="32"/>
        </w:rPr>
        <w:t xml:space="preserve"> 0 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年底，乌鲁木齐高新技术产业开发区（乌鲁木齐市新市区）园林队及下属各预算单位占用使用国有资产总体情况为</w:t>
      </w:r>
    </w:p>
    <w:p w:rsidR="007F00F0" w:rsidRDefault="006E5D1D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房屋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3719 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平方米，价值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185.65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:rsidR="007F00F0" w:rsidRDefault="006E5D1D">
      <w:pPr>
        <w:widowControl/>
        <w:numPr>
          <w:ilvl w:val="0"/>
          <w:numId w:val="1"/>
        </w:numPr>
        <w:tabs>
          <w:tab w:val="clear" w:pos="312"/>
        </w:tabs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16 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257.56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万元；其中：一般公务用车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6.62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万元；其他车辆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 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250.94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widowControl/>
        <w:numPr>
          <w:ilvl w:val="0"/>
          <w:numId w:val="1"/>
        </w:numPr>
        <w:tabs>
          <w:tab w:val="clear" w:pos="312"/>
        </w:tabs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办公家具价值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2.56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F00F0" w:rsidRDefault="006E5D1D">
      <w:pPr>
        <w:widowControl/>
        <w:numPr>
          <w:ilvl w:val="0"/>
          <w:numId w:val="1"/>
        </w:numPr>
        <w:tabs>
          <w:tab w:val="clear" w:pos="312"/>
        </w:tabs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其他资产价值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58.78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7F00F0" w:rsidRDefault="006E5D1D">
      <w:pPr>
        <w:widowControl/>
        <w:spacing w:line="580" w:lineRule="exact"/>
        <w:ind w:firstLineChars="266" w:firstLine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7F00F0" w:rsidRDefault="006E5D1D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（四）预算绩效情况</w:t>
      </w:r>
    </w:p>
    <w:p w:rsidR="007F00F0" w:rsidRDefault="006E5D1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3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万元。具体情况见下表：</w:t>
      </w:r>
    </w:p>
    <w:p w:rsidR="007F00F0" w:rsidRDefault="007F00F0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="1671" w:tblpY="-11277"/>
        <w:tblOverlap w:val="never"/>
        <w:tblW w:w="9300" w:type="dxa"/>
        <w:tblLayout w:type="fixed"/>
        <w:tblLook w:val="04A0" w:firstRow="1" w:lastRow="0" w:firstColumn="1" w:lastColumn="0" w:noHBand="0" w:noVBand="1"/>
      </w:tblPr>
      <w:tblGrid>
        <w:gridCol w:w="1461"/>
        <w:gridCol w:w="1236"/>
        <w:gridCol w:w="1440"/>
        <w:gridCol w:w="1205"/>
        <w:gridCol w:w="1281"/>
        <w:gridCol w:w="166"/>
        <w:gridCol w:w="753"/>
        <w:gridCol w:w="1758"/>
      </w:tblGrid>
      <w:tr w:rsidR="007F00F0">
        <w:trPr>
          <w:trHeight w:val="55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0F0" w:rsidRDefault="007F00F0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7F00F0" w:rsidRDefault="006E5D1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F00F0">
        <w:trPr>
          <w:trHeight w:val="28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乌鲁木齐高新技术产业开发区（乌鲁木齐市新市区）园林队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季节性临时工劳务费</w:t>
            </w:r>
          </w:p>
        </w:tc>
      </w:tr>
      <w:tr w:rsidR="007F00F0">
        <w:trPr>
          <w:trHeight w:val="412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367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Cs/>
                <w:szCs w:val="21"/>
              </w:rPr>
              <w:t>主要用于</w:t>
            </w:r>
            <w:r>
              <w:rPr>
                <w:rStyle w:val="a7"/>
                <w:rFonts w:ascii="宋体" w:hAnsi="宋体" w:cs="宋体" w:hint="eastAsia"/>
                <w:b w:val="0"/>
                <w:spacing w:val="-4"/>
                <w:szCs w:val="21"/>
              </w:rPr>
              <w:t>管辖区域内绿化养护支付的聘用的季节性临时工工资，</w:t>
            </w:r>
            <w:r>
              <w:rPr>
                <w:rFonts w:ascii="宋体" w:hAnsi="宋体" w:cs="宋体" w:hint="eastAsia"/>
                <w:kern w:val="0"/>
                <w:szCs w:val="21"/>
              </w:rPr>
              <w:t>合理安排用工，确保绿色环境</w:t>
            </w:r>
          </w:p>
        </w:tc>
      </w:tr>
      <w:tr w:rsidR="007F00F0">
        <w:trPr>
          <w:trHeight w:val="288"/>
        </w:trPr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F00F0">
        <w:trPr>
          <w:trHeight w:val="288"/>
        </w:trPr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严格执行资金预算管理　　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人，人均工资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　。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按照合同标准发放聘用人员工资发放金额（万元）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按时发放聘用人员工资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聘用人员人数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人，确保公园、街头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处绿化有工　。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人工资足额发放的到位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处绿化质量。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每月考勤统计及工时统计率（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8"/>
        </w:trPr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从源头上保证临聘人员及时补充到位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处绿化有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工产生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的持续性效益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全区绿化的影响力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确保绿化有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工产生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的社会影响力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临聘人员在本职岗位服务社会的社会效益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处绿化有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工产生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的社会效益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临聘人员在本职岗位服务社会的贡献率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合理安排用工，确保绿色环境　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净化全区绿化环境生态效益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提高绿化管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产生良好生绿色态环境</w:t>
            </w:r>
          </w:p>
        </w:tc>
      </w:tr>
      <w:tr w:rsidR="007F00F0">
        <w:trPr>
          <w:trHeight w:val="288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绿化管养，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完成预期管养任务，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维护城市生态环境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不断提升</w:t>
            </w:r>
            <w:r>
              <w:rPr>
                <w:rFonts w:ascii="宋体" w:hAnsi="宋体" w:cs="宋体" w:hint="eastAsia"/>
                <w:sz w:val="18"/>
                <w:szCs w:val="18"/>
              </w:rPr>
              <w:t>城市生态环境，改善城市居住环境</w:t>
            </w:r>
          </w:p>
        </w:tc>
      </w:tr>
      <w:tr w:rsidR="007F00F0">
        <w:trPr>
          <w:trHeight w:val="288"/>
        </w:trPr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社会居民满意率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szCs w:val="21"/>
              </w:rPr>
              <w:t>98%</w:t>
            </w:r>
          </w:p>
        </w:tc>
      </w:tr>
      <w:tr w:rsidR="007F00F0">
        <w:trPr>
          <w:trHeight w:val="297"/>
        </w:trPr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F0" w:rsidRDefault="007F0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提高政府认可率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认可率</w:t>
            </w:r>
            <w:r>
              <w:rPr>
                <w:rFonts w:ascii="宋体" w:hAnsi="宋体" w:cs="宋体" w:hint="eastAsia"/>
                <w:szCs w:val="21"/>
              </w:rPr>
              <w:t>98%</w:t>
            </w:r>
          </w:p>
        </w:tc>
      </w:tr>
    </w:tbl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6E5D1D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tbl>
      <w:tblPr>
        <w:tblpPr w:leftFromText="180" w:rightFromText="180" w:vertAnchor="text" w:horzAnchor="page" w:tblpX="1905" w:tblpY="261"/>
        <w:tblOverlap w:val="never"/>
        <w:tblW w:w="8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423"/>
        <w:gridCol w:w="986"/>
        <w:gridCol w:w="1159"/>
        <w:gridCol w:w="723"/>
        <w:gridCol w:w="394"/>
        <w:gridCol w:w="861"/>
        <w:gridCol w:w="1544"/>
      </w:tblGrid>
      <w:tr w:rsidR="007F00F0">
        <w:trPr>
          <w:trHeight w:val="406"/>
        </w:trPr>
        <w:tc>
          <w:tcPr>
            <w:tcW w:w="8429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00F0" w:rsidRDefault="006E5D1D">
            <w:pPr>
              <w:jc w:val="center"/>
            </w:pPr>
            <w:r>
              <w:rPr>
                <w:rFonts w:ascii="宋体" w:hAnsi="宋体" w:cs="宋体"/>
                <w:b/>
                <w:sz w:val="32"/>
              </w:rPr>
              <w:lastRenderedPageBreak/>
              <w:t>项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目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支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出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proofErr w:type="gramStart"/>
            <w:r>
              <w:rPr>
                <w:rFonts w:ascii="宋体" w:hAnsi="宋体" w:cs="宋体"/>
                <w:b/>
                <w:sz w:val="32"/>
              </w:rPr>
              <w:t>绩</w:t>
            </w:r>
            <w:proofErr w:type="gramEnd"/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proofErr w:type="gramStart"/>
            <w:r>
              <w:rPr>
                <w:rFonts w:ascii="宋体" w:hAnsi="宋体" w:cs="宋体"/>
                <w:b/>
                <w:sz w:val="32"/>
              </w:rPr>
              <w:t>效</w:t>
            </w:r>
            <w:proofErr w:type="gramEnd"/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目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标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表</w:t>
            </w:r>
          </w:p>
        </w:tc>
      </w:tr>
      <w:tr w:rsidR="007F00F0">
        <w:trPr>
          <w:trHeight w:val="27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预算单位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乌鲁木齐市新市区人民法院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乌鲁木齐高新技术产业开发区（乌鲁木齐市新市区）园林队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项目名称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水费、电费</w:t>
            </w:r>
          </w:p>
        </w:tc>
      </w:tr>
      <w:tr w:rsidR="007F00F0">
        <w:trPr>
          <w:trHeight w:val="45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项目资金（万元）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年度资金总额：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220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其中：财政拨款</w:t>
            </w:r>
          </w:p>
        </w:tc>
        <w:tc>
          <w:tcPr>
            <w:tcW w:w="111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220</w:t>
            </w:r>
            <w:r>
              <w:rPr>
                <w:rFonts w:ascii="宋体" w:hAnsi="宋体" w:cs="宋体"/>
                <w:sz w:val="18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其他资金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 xml:space="preserve">　</w:t>
            </w:r>
          </w:p>
        </w:tc>
      </w:tr>
      <w:tr w:rsidR="007F00F0">
        <w:trPr>
          <w:trHeight w:val="40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项目总体目标</w:t>
            </w:r>
          </w:p>
        </w:tc>
        <w:tc>
          <w:tcPr>
            <w:tcW w:w="7090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 xml:space="preserve">　</w:t>
            </w:r>
            <w:r>
              <w:rPr>
                <w:rFonts w:ascii="宋体" w:hAnsi="宋体" w:cs="宋体" w:hint="eastAsia"/>
                <w:bCs/>
                <w:szCs w:val="21"/>
              </w:rPr>
              <w:t>主要用于</w:t>
            </w:r>
            <w:r>
              <w:rPr>
                <w:rStyle w:val="a7"/>
                <w:rFonts w:ascii="宋体" w:hAnsi="宋体" w:cs="宋体" w:hint="eastAsia"/>
                <w:b w:val="0"/>
                <w:spacing w:val="-4"/>
                <w:szCs w:val="21"/>
              </w:rPr>
              <w:t>管辖区域内绿化养护支付的水、电费，确保绿化养护的正常使用</w:t>
            </w:r>
          </w:p>
        </w:tc>
      </w:tr>
      <w:tr w:rsidR="007F00F0">
        <w:trPr>
          <w:trHeight w:val="27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一级指标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二级指标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三级指标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指标值（包含数字及文字描述）</w:t>
            </w:r>
          </w:p>
        </w:tc>
      </w:tr>
      <w:tr w:rsidR="007F00F0">
        <w:trPr>
          <w:trHeight w:val="271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项目完成指标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成本指标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严格执行资金预算管理　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预算资金</w:t>
            </w:r>
            <w:r>
              <w:rPr>
                <w:rFonts w:ascii="宋体" w:hAnsi="宋体" w:cs="宋体" w:hint="eastAsia"/>
                <w:sz w:val="18"/>
                <w:szCs w:val="18"/>
              </w:rPr>
              <w:t>220</w:t>
            </w:r>
            <w:r>
              <w:rPr>
                <w:rFonts w:ascii="宋体" w:hAnsi="宋体" w:cs="宋体" w:hint="eastAsia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81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绿化水电费的正常运行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块水表、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块电表绿化养护的正常使用</w:t>
            </w:r>
          </w:p>
          <w:p w:rsidR="007F00F0" w:rsidRDefault="007F00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时效指标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确保管辖区域内绿化水电时效性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财政按季度拨付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水电费经费使用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按月支付，保证绿化用水、电费的正常运行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数量指标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绿化水电费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确保辖区公园、绿地</w:t>
            </w:r>
            <w:r>
              <w:rPr>
                <w:rFonts w:ascii="宋体" w:hAnsi="宋体" w:cs="宋体" w:hint="eastAsia"/>
                <w:sz w:val="18"/>
                <w:szCs w:val="18"/>
              </w:rPr>
              <w:t>195338.4</w:t>
            </w:r>
            <w:r>
              <w:rPr>
                <w:rFonts w:ascii="宋体" w:hAnsi="宋体" w:cs="宋体" w:hint="eastAsia"/>
                <w:sz w:val="18"/>
                <w:szCs w:val="18"/>
              </w:rPr>
              <w:t>㎡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主次干道、巷道</w:t>
            </w:r>
            <w:r>
              <w:rPr>
                <w:rFonts w:ascii="宋体" w:hAnsi="宋体" w:cs="宋体" w:hint="eastAsia"/>
                <w:sz w:val="18"/>
                <w:szCs w:val="18"/>
              </w:rPr>
              <w:t>1310283.4</w:t>
            </w:r>
            <w:r>
              <w:rPr>
                <w:rFonts w:ascii="宋体" w:hAnsi="宋体" w:cs="宋体" w:hint="eastAsia"/>
                <w:sz w:val="18"/>
                <w:szCs w:val="18"/>
              </w:rPr>
              <w:t>㎡绿化的常态化管理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绿化水电费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块水表、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块电表绿化养护的正常使用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质量指标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绿化管养水电费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绿化管养水电费，确保公园、街头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处绿化质量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绿化管养水电费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保质保量完成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绿化管养水电费正常使用</w:t>
            </w:r>
          </w:p>
        </w:tc>
      </w:tr>
      <w:tr w:rsidR="007F00F0">
        <w:trPr>
          <w:trHeight w:val="283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项目效益指标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经济效益指标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可持续影响指标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绿化管养水电费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改善城市居住环境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不断提升</w:t>
            </w:r>
            <w:r>
              <w:rPr>
                <w:rFonts w:ascii="宋体" w:hAnsi="宋体" w:cs="宋体" w:hint="eastAsia"/>
                <w:sz w:val="18"/>
                <w:szCs w:val="18"/>
              </w:rPr>
              <w:t>城市生态环境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全区绿化的影响力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改善城市居住环境，提高管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养机制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持续性</w:t>
            </w:r>
          </w:p>
          <w:p w:rsidR="007F00F0" w:rsidRDefault="007F00F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社会效益指标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净化全区绿化环境生态效益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确保公园、街头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处、街道、巷道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处绿化有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工产生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的社会效益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绿化管养，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完成预期管养任务，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合理安排，确保绿色环境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生态效益指标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净化全区绿化环境生态效益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提高绿化管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产生良好生绿色态环境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绿化管养，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完成预期管养任务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维护城市生态环境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不断提升</w:t>
            </w:r>
            <w:r>
              <w:rPr>
                <w:rFonts w:ascii="宋体" w:hAnsi="宋体" w:cs="宋体" w:hint="eastAsia"/>
                <w:sz w:val="18"/>
                <w:szCs w:val="18"/>
              </w:rPr>
              <w:t>城市生态环境，改善城市居住环境</w:t>
            </w:r>
          </w:p>
        </w:tc>
      </w:tr>
      <w:tr w:rsidR="007F00F0">
        <w:trPr>
          <w:trHeight w:val="271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满意度指标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满意度指标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社会居民满意率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szCs w:val="21"/>
              </w:rPr>
              <w:t>98%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提高政府认可率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认可率</w:t>
            </w:r>
            <w:r>
              <w:rPr>
                <w:rFonts w:ascii="宋体" w:hAnsi="宋体" w:cs="宋体" w:hint="eastAsia"/>
                <w:szCs w:val="21"/>
              </w:rPr>
              <w:t>98%</w:t>
            </w:r>
          </w:p>
        </w:tc>
      </w:tr>
    </w:tbl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="1850" w:tblpY="343"/>
        <w:tblOverlap w:val="never"/>
        <w:tblW w:w="8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180"/>
        <w:gridCol w:w="1229"/>
        <w:gridCol w:w="1159"/>
        <w:gridCol w:w="1117"/>
        <w:gridCol w:w="249"/>
        <w:gridCol w:w="612"/>
        <w:gridCol w:w="1544"/>
      </w:tblGrid>
      <w:tr w:rsidR="007F00F0">
        <w:trPr>
          <w:trHeight w:val="406"/>
        </w:trPr>
        <w:tc>
          <w:tcPr>
            <w:tcW w:w="8429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F00F0" w:rsidRDefault="006E5D1D">
            <w:pPr>
              <w:jc w:val="center"/>
            </w:pPr>
            <w:r>
              <w:rPr>
                <w:rFonts w:ascii="宋体" w:hAnsi="宋体" w:cs="宋体"/>
                <w:b/>
                <w:sz w:val="32"/>
              </w:rPr>
              <w:t>项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目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支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出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proofErr w:type="gramStart"/>
            <w:r>
              <w:rPr>
                <w:rFonts w:ascii="宋体" w:hAnsi="宋体" w:cs="宋体"/>
                <w:b/>
                <w:sz w:val="32"/>
              </w:rPr>
              <w:t>绩</w:t>
            </w:r>
            <w:proofErr w:type="gramEnd"/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proofErr w:type="gramStart"/>
            <w:r>
              <w:rPr>
                <w:rFonts w:ascii="宋体" w:hAnsi="宋体" w:cs="宋体"/>
                <w:b/>
                <w:sz w:val="32"/>
              </w:rPr>
              <w:t>效</w:t>
            </w:r>
            <w:proofErr w:type="gramEnd"/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目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标</w:t>
            </w:r>
            <w:r>
              <w:rPr>
                <w:rFonts w:ascii="仿宋_GB2312" w:eastAsia="仿宋_GB2312" w:hAnsi="仿宋_GB2312" w:cs="仿宋_GB2312"/>
                <w:b/>
                <w:sz w:val="32"/>
              </w:rPr>
              <w:t xml:space="preserve">  </w:t>
            </w:r>
            <w:r>
              <w:rPr>
                <w:rFonts w:ascii="宋体" w:hAnsi="宋体" w:cs="宋体"/>
                <w:b/>
                <w:sz w:val="32"/>
              </w:rPr>
              <w:t>表</w:t>
            </w:r>
          </w:p>
        </w:tc>
      </w:tr>
      <w:tr w:rsidR="007F00F0">
        <w:trPr>
          <w:trHeight w:val="27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预算单位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乌鲁木齐高新技术产业开发区（乌鲁木齐市新市区）园林队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项目名称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伙食补助费</w:t>
            </w:r>
          </w:p>
        </w:tc>
      </w:tr>
      <w:tr w:rsidR="007F00F0">
        <w:trPr>
          <w:trHeight w:val="45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项目资金（万元）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年度资金总额：</w:t>
            </w:r>
          </w:p>
        </w:tc>
        <w:tc>
          <w:tcPr>
            <w:tcW w:w="12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其中：财政拨款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其他资金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 xml:space="preserve">　</w:t>
            </w:r>
          </w:p>
        </w:tc>
      </w:tr>
      <w:tr w:rsidR="007F00F0">
        <w:trPr>
          <w:trHeight w:val="40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项目总体目标</w:t>
            </w:r>
          </w:p>
        </w:tc>
        <w:tc>
          <w:tcPr>
            <w:tcW w:w="7090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保证干部职工正常用餐，节省了时间，提高了工作效率</w:t>
            </w:r>
          </w:p>
        </w:tc>
      </w:tr>
      <w:tr w:rsidR="007F00F0">
        <w:trPr>
          <w:trHeight w:val="271"/>
        </w:trPr>
        <w:tc>
          <w:tcPr>
            <w:tcW w:w="13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一级指标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二级指标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三级指标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18"/>
              </w:rPr>
              <w:t>指标值（包含数字及文字描述）</w:t>
            </w:r>
          </w:p>
        </w:tc>
      </w:tr>
      <w:tr w:rsidR="007F00F0">
        <w:trPr>
          <w:trHeight w:val="271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项目完成指标</w:t>
            </w: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成本指标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严格执行资金预算管理　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预算资金</w:t>
            </w: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严格按照财政午餐标准执行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确保单位</w:t>
            </w: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  <w:r>
              <w:rPr>
                <w:rFonts w:ascii="宋体" w:hAnsi="宋体" w:cs="宋体" w:hint="eastAsia"/>
                <w:sz w:val="18"/>
                <w:szCs w:val="18"/>
              </w:rPr>
              <w:t>名职工正常用餐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时效指标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按季度申请使用　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按月控制经费使用情况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数量指标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按季度申请资金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按月支付资金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质量指标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增强食堂管理员监督机制，提高伙食质量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用餐干部职工及时反馈伙食质量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　</w:t>
            </w:r>
          </w:p>
        </w:tc>
      </w:tr>
      <w:tr w:rsidR="007F00F0">
        <w:trPr>
          <w:trHeight w:val="283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项目效益指标</w:t>
            </w: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经济效益指标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ind w:firstLineChars="800" w:firstLine="144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可持续影响指标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方正仿宋_GBK" w:eastAsia="方正仿宋_GBK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解决干部职工就餐的问题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增强了凝聚力，节省了时间，提高了工作效率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社会效益指标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节省了时间，提高了工作效率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伙食费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就餐人员满意度提高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生态效益指标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83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71"/>
        </w:trPr>
        <w:tc>
          <w:tcPr>
            <w:tcW w:w="133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满意度指标</w:t>
            </w:r>
          </w:p>
        </w:tc>
        <w:tc>
          <w:tcPr>
            <w:tcW w:w="118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18"/>
              </w:rPr>
              <w:t>满意度指标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干部职工就餐满意率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  <w:tr w:rsidR="007F00F0">
        <w:trPr>
          <w:trHeight w:val="271"/>
        </w:trPr>
        <w:tc>
          <w:tcPr>
            <w:tcW w:w="133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0F0" w:rsidRDefault="007F00F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干部职工就餐认可率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0F0" w:rsidRDefault="006E5D1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sz w:val="18"/>
                <w:szCs w:val="18"/>
              </w:rPr>
              <w:t>95%</w:t>
            </w:r>
            <w:r>
              <w:rPr>
                <w:rFonts w:ascii="宋体" w:hAnsi="宋体" w:cs="宋体"/>
                <w:sz w:val="18"/>
                <w:szCs w:val="18"/>
              </w:rPr>
              <w:t xml:space="preserve">　</w:t>
            </w:r>
          </w:p>
        </w:tc>
      </w:tr>
    </w:tbl>
    <w:p w:rsidR="007F00F0" w:rsidRDefault="007F00F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7F00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00F0" w:rsidRDefault="007F00F0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7F00F0" w:rsidRDefault="006E5D1D">
      <w:pPr>
        <w:widowControl/>
        <w:numPr>
          <w:ilvl w:val="0"/>
          <w:numId w:val="2"/>
        </w:numPr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其他需说明的事项</w:t>
      </w:r>
    </w:p>
    <w:p w:rsidR="007F00F0" w:rsidRDefault="006E5D1D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          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无</w:t>
      </w:r>
    </w:p>
    <w:p w:rsidR="007F00F0" w:rsidRDefault="007F00F0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7F00F0" w:rsidRDefault="006E5D1D">
      <w:pPr>
        <w:widowControl/>
        <w:spacing w:beforeLines="50" w:before="156"/>
        <w:ind w:firstLineChars="700" w:firstLine="22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7F00F0" w:rsidRDefault="006E5D1D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</w:t>
      </w:r>
      <w:r>
        <w:rPr>
          <w:rFonts w:ascii="仿宋_GB2312" w:eastAsia="仿宋_GB2312" w:hint="eastAsia"/>
          <w:sz w:val="32"/>
          <w:szCs w:val="32"/>
        </w:rPr>
        <w:t>、保险费、安全奖励费用</w:t>
      </w:r>
      <w:r>
        <w:rPr>
          <w:rFonts w:ascii="仿宋_GB2312" w:eastAsia="仿宋_GB2312" w:hint="eastAsia"/>
          <w:sz w:val="32"/>
          <w:szCs w:val="32"/>
        </w:rPr>
        <w:lastRenderedPageBreak/>
        <w:t>等支出；公务接待费指单位按规定开支的各类公务接待（含外宾接待）支出。</w:t>
      </w:r>
    </w:p>
    <w:p w:rsidR="007F00F0" w:rsidRDefault="006E5D1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7F00F0" w:rsidRDefault="007F00F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7F00F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00F0" w:rsidRDefault="006E5D1D">
      <w:pPr>
        <w:widowControl/>
        <w:spacing w:line="560" w:lineRule="exact"/>
        <w:ind w:left="3200" w:hangingChars="1000" w:hanging="32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乌鲁木齐高新技术产业开发区（乌鲁木齐市新市区）园林队</w:t>
      </w:r>
    </w:p>
    <w:p w:rsidR="007F00F0" w:rsidRDefault="006E5D1D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7F00F0" w:rsidRDefault="007F00F0"/>
    <w:p w:rsidR="007F00F0" w:rsidRDefault="007F00F0"/>
    <w:sectPr w:rsidR="007F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1D" w:rsidRDefault="006E5D1D">
      <w:r>
        <w:separator/>
      </w:r>
    </w:p>
  </w:endnote>
  <w:endnote w:type="continuationSeparator" w:id="0">
    <w:p w:rsidR="006E5D1D" w:rsidRDefault="006E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F0" w:rsidRDefault="006E5D1D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7F00F0" w:rsidRDefault="007F00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F0" w:rsidRDefault="006E5D1D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7F09B4" w:rsidRPr="007F09B4">
      <w:rPr>
        <w:rFonts w:ascii="宋体" w:eastAsia="宋体" w:hAnsi="宋体"/>
        <w:noProof/>
        <w:sz w:val="28"/>
        <w:szCs w:val="28"/>
        <w:lang w:val="zh-CN"/>
      </w:rPr>
      <w:t>22</w:t>
    </w:r>
    <w:r>
      <w:rPr>
        <w:rFonts w:ascii="宋体" w:eastAsia="宋体" w:hAnsi="宋体"/>
        <w:sz w:val="28"/>
        <w:szCs w:val="28"/>
      </w:rPr>
      <w:fldChar w:fldCharType="end"/>
    </w:r>
  </w:p>
  <w:p w:rsidR="007F00F0" w:rsidRDefault="007F0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1D" w:rsidRDefault="006E5D1D">
      <w:r>
        <w:separator/>
      </w:r>
    </w:p>
  </w:footnote>
  <w:footnote w:type="continuationSeparator" w:id="0">
    <w:p w:rsidR="006E5D1D" w:rsidRDefault="006E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CADA2"/>
    <w:multiLevelType w:val="singleLevel"/>
    <w:tmpl w:val="F2FCADA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E2A8FD"/>
    <w:multiLevelType w:val="singleLevel"/>
    <w:tmpl w:val="29E2A8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167F4"/>
    <w:rsid w:val="000413A4"/>
    <w:rsid w:val="001533CF"/>
    <w:rsid w:val="00285014"/>
    <w:rsid w:val="002A0B86"/>
    <w:rsid w:val="002B5144"/>
    <w:rsid w:val="00325B17"/>
    <w:rsid w:val="0049168B"/>
    <w:rsid w:val="004B1EFC"/>
    <w:rsid w:val="005413BE"/>
    <w:rsid w:val="005C4D7A"/>
    <w:rsid w:val="0066768B"/>
    <w:rsid w:val="006E5D1D"/>
    <w:rsid w:val="006F2164"/>
    <w:rsid w:val="007271EB"/>
    <w:rsid w:val="007327E6"/>
    <w:rsid w:val="00773FF0"/>
    <w:rsid w:val="007F00F0"/>
    <w:rsid w:val="007F09B4"/>
    <w:rsid w:val="00885DB1"/>
    <w:rsid w:val="008F3F12"/>
    <w:rsid w:val="0094473E"/>
    <w:rsid w:val="009977CE"/>
    <w:rsid w:val="009F333B"/>
    <w:rsid w:val="00AA27D2"/>
    <w:rsid w:val="00B87B30"/>
    <w:rsid w:val="00B916F7"/>
    <w:rsid w:val="00CB39DD"/>
    <w:rsid w:val="00CB689C"/>
    <w:rsid w:val="00DB0B4B"/>
    <w:rsid w:val="00E156D4"/>
    <w:rsid w:val="00E823AD"/>
    <w:rsid w:val="00EE5B28"/>
    <w:rsid w:val="00F3591C"/>
    <w:rsid w:val="00FC6ABD"/>
    <w:rsid w:val="01317FC0"/>
    <w:rsid w:val="015C6188"/>
    <w:rsid w:val="0367327C"/>
    <w:rsid w:val="0729403A"/>
    <w:rsid w:val="073B549D"/>
    <w:rsid w:val="074D6436"/>
    <w:rsid w:val="081A605C"/>
    <w:rsid w:val="0867336D"/>
    <w:rsid w:val="09382873"/>
    <w:rsid w:val="0CB63355"/>
    <w:rsid w:val="0E7C5CBF"/>
    <w:rsid w:val="0F383DB6"/>
    <w:rsid w:val="0F73478C"/>
    <w:rsid w:val="0FF51FF1"/>
    <w:rsid w:val="10CE0F42"/>
    <w:rsid w:val="11311AFA"/>
    <w:rsid w:val="11BE56DE"/>
    <w:rsid w:val="125269BF"/>
    <w:rsid w:val="12F208F1"/>
    <w:rsid w:val="13300A25"/>
    <w:rsid w:val="13401907"/>
    <w:rsid w:val="1461086E"/>
    <w:rsid w:val="14AD67B7"/>
    <w:rsid w:val="14E77DBA"/>
    <w:rsid w:val="14EE5175"/>
    <w:rsid w:val="16A025B3"/>
    <w:rsid w:val="16D74B1C"/>
    <w:rsid w:val="170E3E43"/>
    <w:rsid w:val="174E3327"/>
    <w:rsid w:val="178F2F82"/>
    <w:rsid w:val="19437A0D"/>
    <w:rsid w:val="1C3C111D"/>
    <w:rsid w:val="1EEB35C9"/>
    <w:rsid w:val="1F1B19D9"/>
    <w:rsid w:val="1FDC3DA6"/>
    <w:rsid w:val="20C977CE"/>
    <w:rsid w:val="20E5325E"/>
    <w:rsid w:val="21C457D5"/>
    <w:rsid w:val="21DD30E2"/>
    <w:rsid w:val="21DF2064"/>
    <w:rsid w:val="23714BAF"/>
    <w:rsid w:val="24591BE3"/>
    <w:rsid w:val="250E3750"/>
    <w:rsid w:val="2563523A"/>
    <w:rsid w:val="258B46E5"/>
    <w:rsid w:val="25A953D0"/>
    <w:rsid w:val="272828A8"/>
    <w:rsid w:val="273054E5"/>
    <w:rsid w:val="273F41CE"/>
    <w:rsid w:val="27910473"/>
    <w:rsid w:val="28CE64E9"/>
    <w:rsid w:val="295468A4"/>
    <w:rsid w:val="2A07055A"/>
    <w:rsid w:val="2B6A76A1"/>
    <w:rsid w:val="2BAE1831"/>
    <w:rsid w:val="2BE8400A"/>
    <w:rsid w:val="2BE9286C"/>
    <w:rsid w:val="2C1616DA"/>
    <w:rsid w:val="2D51581F"/>
    <w:rsid w:val="2D5A0CD5"/>
    <w:rsid w:val="2DA17A06"/>
    <w:rsid w:val="2DA8386B"/>
    <w:rsid w:val="2E1E3512"/>
    <w:rsid w:val="2E472B55"/>
    <w:rsid w:val="31905190"/>
    <w:rsid w:val="324F44D5"/>
    <w:rsid w:val="331F2102"/>
    <w:rsid w:val="34EE4431"/>
    <w:rsid w:val="356B5EB8"/>
    <w:rsid w:val="369114DD"/>
    <w:rsid w:val="391546DB"/>
    <w:rsid w:val="394F24E0"/>
    <w:rsid w:val="39772948"/>
    <w:rsid w:val="3A6E0DBA"/>
    <w:rsid w:val="3AB60E50"/>
    <w:rsid w:val="3B5E4413"/>
    <w:rsid w:val="3D4D2465"/>
    <w:rsid w:val="3D6B4FE5"/>
    <w:rsid w:val="3DB54906"/>
    <w:rsid w:val="3DF16A6F"/>
    <w:rsid w:val="3F3069C8"/>
    <w:rsid w:val="3F800376"/>
    <w:rsid w:val="40412CCD"/>
    <w:rsid w:val="41AD7659"/>
    <w:rsid w:val="424D0EAA"/>
    <w:rsid w:val="425517E2"/>
    <w:rsid w:val="42AE15D5"/>
    <w:rsid w:val="43794461"/>
    <w:rsid w:val="4405119F"/>
    <w:rsid w:val="44170D0D"/>
    <w:rsid w:val="4438036D"/>
    <w:rsid w:val="46CA2EDB"/>
    <w:rsid w:val="47100B3A"/>
    <w:rsid w:val="47775361"/>
    <w:rsid w:val="477C4F69"/>
    <w:rsid w:val="4B3030F6"/>
    <w:rsid w:val="4D4B1F56"/>
    <w:rsid w:val="4DFB65D9"/>
    <w:rsid w:val="4E057748"/>
    <w:rsid w:val="4F227580"/>
    <w:rsid w:val="503A3F20"/>
    <w:rsid w:val="50616E22"/>
    <w:rsid w:val="50747CA0"/>
    <w:rsid w:val="511C702E"/>
    <w:rsid w:val="52C21ED1"/>
    <w:rsid w:val="538E41A1"/>
    <w:rsid w:val="556426B2"/>
    <w:rsid w:val="565C54ED"/>
    <w:rsid w:val="574B0F92"/>
    <w:rsid w:val="58222A7B"/>
    <w:rsid w:val="599A0645"/>
    <w:rsid w:val="59FC013C"/>
    <w:rsid w:val="5B501DF5"/>
    <w:rsid w:val="5B584C17"/>
    <w:rsid w:val="5C1F026F"/>
    <w:rsid w:val="5C9E3744"/>
    <w:rsid w:val="5CC21955"/>
    <w:rsid w:val="5CCE5DDF"/>
    <w:rsid w:val="5D931530"/>
    <w:rsid w:val="5DDA2D1E"/>
    <w:rsid w:val="5F5B70FF"/>
    <w:rsid w:val="60FE50A7"/>
    <w:rsid w:val="61725C94"/>
    <w:rsid w:val="628A24AD"/>
    <w:rsid w:val="64B339F1"/>
    <w:rsid w:val="65114DB5"/>
    <w:rsid w:val="687253AD"/>
    <w:rsid w:val="691C5AF4"/>
    <w:rsid w:val="6A172E79"/>
    <w:rsid w:val="6A694905"/>
    <w:rsid w:val="6AC314CD"/>
    <w:rsid w:val="6CAA2698"/>
    <w:rsid w:val="6CF2742A"/>
    <w:rsid w:val="6EF12FE7"/>
    <w:rsid w:val="70D44E99"/>
    <w:rsid w:val="7104283A"/>
    <w:rsid w:val="7261280C"/>
    <w:rsid w:val="73435000"/>
    <w:rsid w:val="7378359E"/>
    <w:rsid w:val="755D4E58"/>
    <w:rsid w:val="763563C5"/>
    <w:rsid w:val="76547064"/>
    <w:rsid w:val="77CC249F"/>
    <w:rsid w:val="794A1651"/>
    <w:rsid w:val="799F4BFC"/>
    <w:rsid w:val="7A3478FD"/>
    <w:rsid w:val="7B9A7894"/>
    <w:rsid w:val="7C3357CF"/>
    <w:rsid w:val="7C7F17C1"/>
    <w:rsid w:val="7CCC487F"/>
    <w:rsid w:val="7E5A676E"/>
    <w:rsid w:val="7E9C288A"/>
    <w:rsid w:val="7FF87DF2"/>
    <w:rsid w:val="7FFB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2001</Words>
  <Characters>11406</Characters>
  <Application>Microsoft Office Word</Application>
  <DocSecurity>0</DocSecurity>
  <Lines>95</Lines>
  <Paragraphs>26</Paragraphs>
  <ScaleCrop>false</ScaleCrop>
  <Company>Microsoft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4</cp:revision>
  <dcterms:created xsi:type="dcterms:W3CDTF">2019-02-23T08:13:00Z</dcterms:created>
  <dcterms:modified xsi:type="dcterms:W3CDTF">2019-08-13T13:15:00Z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