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hint="eastAsia" w:ascii="宋体" w:hAnsi="宋体" w:cs="宋体"/>
          <w:color w:val="000000"/>
          <w:kern w:val="0"/>
          <w:sz w:val="36"/>
          <w:szCs w:val="36"/>
        </w:rPr>
        <w:t>乌鲁木齐市第十九幼儿园</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 w:val="36"/>
          <w:szCs w:val="36"/>
        </w:rPr>
      </w:pPr>
      <w:r>
        <w:rPr>
          <w:rFonts w:hint="eastAsia" w:ascii="宋体" w:hAnsi="宋体" w:cs="宋体"/>
          <w:color w:val="000000"/>
          <w:kern w:val="0"/>
          <w:sz w:val="36"/>
          <w:szCs w:val="36"/>
        </w:rPr>
        <w:t>2019年部门预算公开</w:t>
      </w:r>
    </w:p>
    <w:p>
      <w:pPr>
        <w:widowControl/>
        <w:shd w:val="clear" w:color="auto" w:fill="FFFFFF"/>
        <w:spacing w:before="100" w:beforeAutospacing="1" w:after="100" w:afterAutospacing="1" w:line="315" w:lineRule="atLeast"/>
        <w:ind w:firstLine="3960" w:firstLineChars="1100"/>
        <w:jc w:val="left"/>
        <w:rPr>
          <w:rFonts w:ascii="宋体" w:hAnsi="宋体" w:cs="宋体"/>
          <w:color w:val="000000"/>
          <w:kern w:val="0"/>
          <w:sz w:val="36"/>
          <w:szCs w:val="36"/>
        </w:rPr>
      </w:pPr>
      <w:r>
        <w:rPr>
          <w:rFonts w:hint="eastAsia" w:ascii="宋体" w:hAnsi="宋体" w:cs="宋体"/>
          <w:color w:val="000000"/>
          <w:kern w:val="0"/>
          <w:sz w:val="36"/>
          <w:szCs w:val="36"/>
        </w:rPr>
        <w:t>目录</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第一部分 乌鲁木齐市第</w:t>
      </w:r>
      <w:r>
        <w:rPr>
          <w:rFonts w:hint="eastAsia" w:ascii="宋体" w:hAnsi="宋体" w:cs="宋体"/>
          <w:color w:val="000000"/>
          <w:kern w:val="0"/>
          <w:szCs w:val="21"/>
        </w:rPr>
        <w:t>第十九幼儿园</w:t>
      </w:r>
      <w:r>
        <w:rPr>
          <w:rFonts w:hint="eastAsia" w:ascii="宋体" w:hAnsi="宋体" w:cs="宋体"/>
          <w:b/>
          <w:bCs/>
          <w:color w:val="000000"/>
          <w:kern w:val="0"/>
          <w:szCs w:val="21"/>
        </w:rPr>
        <w:t>单位概况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一、主要职能</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二、机构设置及人员情况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第二部分 2019年部门预算公开表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一、部门收支总体情况表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二、部门收入总体情况表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三、部门支出总体情况表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四、财政拨款收支总体情况表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五、一般公共预算支出情况表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六、一般公共预算基本支出情况表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七、项目支出情况表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八、一般公共预算“三公”经费支出情况表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九、政府性基金预算支出情况表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第三部分 2019年部门预算情况说明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一、关于乌鲁木齐市第十九幼儿园2019年收支预算情况的总体说明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二、关于乌鲁木齐市第十九八幼儿园2019年收入预算情况说明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三、关于乌鲁木齐市第十九幼儿园2019年支出预算情况说明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四、关于乌鲁木齐市第十九幼儿园2019年财政拨款收支预算情况的总体说明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五、关于乌鲁木齐市第十九幼儿园2019年一般公共预算当年拨款情况说明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六、关于乌鲁木齐市第十九幼儿园2019年一般公共预算基本支出情况说明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七、关于乌鲁木齐市第十九幼儿园2019年项目支出情况说明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八、关于乌鲁木齐市第十九幼儿园2019年一般公共预算“三公”经费预算情况说明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九、关于乌鲁木齐市第十九幼儿园2019年政府性基金预算拨款情况说明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十、其他重要事项的情况说明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第四部分 名词解释</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Cs w:val="21"/>
        </w:rPr>
        <w:t>第一部分 乌鲁木齐市第十九幼儿园单位概况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一、主要职能</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1.实施</w:t>
      </w:r>
      <w:r>
        <w:rPr>
          <w:rFonts w:hint="eastAsia" w:ascii="宋体" w:hAnsi="宋体"/>
          <w:szCs w:val="21"/>
        </w:rPr>
        <w:t>学前</w:t>
      </w:r>
      <w:r>
        <w:rPr>
          <w:rFonts w:ascii="宋体" w:hAnsi="宋体"/>
          <w:szCs w:val="21"/>
        </w:rPr>
        <w:t xml:space="preserve">基础教育； </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 xml:space="preserve">2.促进基础教育发展； </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3.</w:t>
      </w:r>
      <w:r>
        <w:rPr>
          <w:rFonts w:hint="eastAsia" w:ascii="宋体" w:hAnsi="宋体"/>
          <w:szCs w:val="21"/>
        </w:rPr>
        <w:t>学前</w:t>
      </w:r>
      <w:r>
        <w:rPr>
          <w:rFonts w:ascii="宋体" w:hAnsi="宋体"/>
          <w:szCs w:val="21"/>
        </w:rPr>
        <w:t>学历教育（相关社会服务），属于全额拨款事业单位。</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二、机构设置及人员情况</w:t>
      </w:r>
    </w:p>
    <w:p>
      <w:pPr>
        <w:widowControl/>
        <w:shd w:val="clear" w:color="auto" w:fill="FFFFFF"/>
        <w:spacing w:before="100" w:beforeAutospacing="1" w:after="100" w:afterAutospacing="1" w:line="315" w:lineRule="atLeast"/>
        <w:ind w:firstLine="480"/>
        <w:jc w:val="left"/>
        <w:rPr>
          <w:rFonts w:ascii="宋体" w:hAnsi="宋体"/>
          <w:szCs w:val="21"/>
        </w:rPr>
      </w:pPr>
      <w:r>
        <w:rPr>
          <w:rFonts w:ascii="宋体" w:hAnsi="宋体"/>
          <w:szCs w:val="21"/>
        </w:rPr>
        <w:t>乌鲁木齐市第十</w:t>
      </w:r>
      <w:r>
        <w:rPr>
          <w:rFonts w:hint="eastAsia" w:ascii="宋体" w:hAnsi="宋体"/>
          <w:szCs w:val="21"/>
        </w:rPr>
        <w:t>九</w:t>
      </w:r>
      <w:r>
        <w:rPr>
          <w:rFonts w:ascii="宋体" w:hAnsi="宋体"/>
          <w:szCs w:val="21"/>
        </w:rPr>
        <w:t>幼儿园无下属预算单位，无下设处室。</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乌鲁木齐市第十九幼儿园编制数0人，实有人数8人，其中：在职8人，增加或减少   0人；退休人数为0人，增加0人,</w:t>
      </w:r>
      <w:r>
        <w:rPr>
          <w:rFonts w:hint="eastAsia"/>
        </w:rPr>
        <w:t xml:space="preserve"> </w:t>
      </w:r>
      <w:r>
        <w:rPr>
          <w:rFonts w:hint="eastAsia" w:ascii="宋体" w:hAnsi="宋体" w:cs="宋体"/>
          <w:color w:val="000000"/>
          <w:kern w:val="0"/>
          <w:szCs w:val="21"/>
        </w:rPr>
        <w:t>离休0人，增加或减少   0人。。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学前教育217人。</w:t>
      </w:r>
    </w:p>
    <w:p>
      <w:pPr>
        <w:widowControl/>
        <w:numPr>
          <w:ilvl w:val="0"/>
          <w:numId w:val="1"/>
        </w:numPr>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Cs w:val="21"/>
        </w:rPr>
        <w:t>2019年部门预算公开表</w:t>
      </w:r>
    </w:p>
    <w:p>
      <w:pPr>
        <w:widowControl/>
        <w:numPr>
          <w:ilvl w:val="0"/>
          <w:numId w:val="1"/>
        </w:numPr>
        <w:shd w:val="clear" w:color="auto" w:fill="FFFFFF"/>
        <w:spacing w:before="100" w:beforeAutospacing="1" w:after="100" w:afterAutospacing="1" w:line="315" w:lineRule="atLeast"/>
        <w:ind w:firstLine="480"/>
        <w:jc w:val="center"/>
        <w:rPr>
          <w:rFonts w:ascii="宋体" w:hAnsi="宋体" w:cs="宋体"/>
          <w:color w:val="000000"/>
          <w:kern w:val="0"/>
          <w:szCs w:val="21"/>
        </w:rPr>
      </w:pPr>
    </w:p>
    <w:tbl>
      <w:tblPr>
        <w:tblStyle w:val="5"/>
        <w:tblW w:w="8336" w:type="dxa"/>
        <w:tblInd w:w="0" w:type="dxa"/>
        <w:tblLayout w:type="fixed"/>
        <w:tblCellMar>
          <w:top w:w="15" w:type="dxa"/>
          <w:left w:w="15" w:type="dxa"/>
          <w:bottom w:w="15" w:type="dxa"/>
          <w:right w:w="15" w:type="dxa"/>
        </w:tblCellMar>
      </w:tblPr>
      <w:tblGrid>
        <w:gridCol w:w="1898"/>
        <w:gridCol w:w="1910"/>
        <w:gridCol w:w="2247"/>
        <w:gridCol w:w="2281"/>
      </w:tblGrid>
      <w:tr>
        <w:tblPrEx>
          <w:tblLayout w:type="fixed"/>
          <w:tblCellMar>
            <w:top w:w="15" w:type="dxa"/>
            <w:left w:w="15" w:type="dxa"/>
            <w:bottom w:w="15" w:type="dxa"/>
            <w:right w:w="15" w:type="dxa"/>
          </w:tblCellMar>
        </w:tblPrEx>
        <w:trPr>
          <w:trHeight w:val="345" w:hRule="atLeast"/>
        </w:trPr>
        <w:tc>
          <w:tcPr>
            <w:tcW w:w="1898" w:type="dxa"/>
            <w:shd w:val="clear" w:color="auto" w:fill="CCCCFF"/>
            <w:vAlign w:val="center"/>
          </w:tcPr>
          <w:p>
            <w:pPr>
              <w:widowControl/>
              <w:jc w:val="left"/>
              <w:textAlignment w:val="center"/>
              <w:rPr>
                <w:rFonts w:ascii="宋体" w:hAnsi="宋体" w:cs="宋体"/>
                <w:b/>
                <w:color w:val="000000"/>
                <w:sz w:val="28"/>
                <w:szCs w:val="28"/>
              </w:rPr>
            </w:pPr>
            <w:r>
              <w:rPr>
                <w:rFonts w:hint="eastAsia" w:ascii="宋体" w:hAnsi="宋体" w:cs="宋体"/>
                <w:b/>
                <w:color w:val="000000"/>
                <w:kern w:val="0"/>
                <w:sz w:val="28"/>
                <w:szCs w:val="28"/>
                <w:lang w:bidi="ar"/>
              </w:rPr>
              <w:t xml:space="preserve">  表一：</w:t>
            </w:r>
          </w:p>
        </w:tc>
        <w:tc>
          <w:tcPr>
            <w:tcW w:w="1910" w:type="dxa"/>
            <w:shd w:val="clear" w:color="auto" w:fill="CCCCFF"/>
          </w:tcPr>
          <w:p>
            <w:pPr>
              <w:jc w:val="left"/>
              <w:rPr>
                <w:rFonts w:ascii="宋体" w:hAnsi="宋体" w:cs="宋体"/>
                <w:color w:val="000000"/>
                <w:sz w:val="20"/>
                <w:szCs w:val="20"/>
              </w:rPr>
            </w:pPr>
          </w:p>
        </w:tc>
        <w:tc>
          <w:tcPr>
            <w:tcW w:w="2247" w:type="dxa"/>
            <w:shd w:val="clear" w:color="auto" w:fill="CCCCFF"/>
          </w:tcPr>
          <w:p>
            <w:pPr>
              <w:jc w:val="left"/>
              <w:rPr>
                <w:rFonts w:ascii="宋体" w:hAnsi="宋体" w:cs="宋体"/>
                <w:color w:val="000000"/>
                <w:sz w:val="20"/>
                <w:szCs w:val="20"/>
              </w:rPr>
            </w:pPr>
          </w:p>
        </w:tc>
        <w:tc>
          <w:tcPr>
            <w:tcW w:w="2281" w:type="dxa"/>
            <w:shd w:val="clear" w:color="auto" w:fill="CCCC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24" w:hRule="atLeast"/>
        </w:trPr>
        <w:tc>
          <w:tcPr>
            <w:tcW w:w="8336" w:type="dxa"/>
            <w:gridSpan w:val="4"/>
            <w:vMerge w:val="restart"/>
            <w:shd w:val="clear" w:color="auto" w:fill="CCCCFF"/>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部门收支总体情况表</w:t>
            </w:r>
          </w:p>
        </w:tc>
      </w:tr>
      <w:tr>
        <w:tblPrEx>
          <w:tblLayout w:type="fixed"/>
          <w:tblCellMar>
            <w:top w:w="15" w:type="dxa"/>
            <w:left w:w="15" w:type="dxa"/>
            <w:bottom w:w="15" w:type="dxa"/>
            <w:right w:w="15" w:type="dxa"/>
          </w:tblCellMar>
        </w:tblPrEx>
        <w:trPr>
          <w:trHeight w:val="624" w:hRule="atLeast"/>
        </w:trPr>
        <w:tc>
          <w:tcPr>
            <w:tcW w:w="8336" w:type="dxa"/>
            <w:gridSpan w:val="4"/>
            <w:vMerge w:val="continue"/>
            <w:shd w:val="clear" w:color="auto" w:fill="CCCCFF"/>
            <w:vAlign w:val="center"/>
          </w:tcPr>
          <w:p>
            <w:pPr>
              <w:jc w:val="center"/>
              <w:rPr>
                <w:rFonts w:ascii="宋体" w:hAnsi="宋体" w:cs="宋体"/>
                <w:b/>
                <w:color w:val="000000"/>
                <w:sz w:val="28"/>
                <w:szCs w:val="28"/>
              </w:rPr>
            </w:pPr>
          </w:p>
        </w:tc>
      </w:tr>
      <w:tr>
        <w:tblPrEx>
          <w:tblLayout w:type="fixed"/>
          <w:tblCellMar>
            <w:top w:w="15" w:type="dxa"/>
            <w:left w:w="15" w:type="dxa"/>
            <w:bottom w:w="15" w:type="dxa"/>
            <w:right w:w="15" w:type="dxa"/>
          </w:tblCellMar>
        </w:tblPrEx>
        <w:trPr>
          <w:trHeight w:val="345" w:hRule="atLeast"/>
        </w:trPr>
        <w:tc>
          <w:tcPr>
            <w:tcW w:w="6055" w:type="dxa"/>
            <w:gridSpan w:val="3"/>
            <w:shd w:val="clear" w:color="auto" w:fill="CCCC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编制部门：乌鲁木齐市第十九幼儿园</w:t>
            </w:r>
          </w:p>
        </w:tc>
        <w:tc>
          <w:tcPr>
            <w:tcW w:w="2281" w:type="dxa"/>
            <w:shd w:val="clear" w:color="auto" w:fill="CCCC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单位：万元   </w:t>
            </w:r>
          </w:p>
        </w:tc>
      </w:tr>
      <w:tr>
        <w:tblPrEx>
          <w:tblLayout w:type="fixed"/>
          <w:tblCellMar>
            <w:top w:w="15" w:type="dxa"/>
            <w:left w:w="15" w:type="dxa"/>
            <w:bottom w:w="15" w:type="dxa"/>
            <w:right w:w="15" w:type="dxa"/>
          </w:tblCellMar>
        </w:tblPrEx>
        <w:trPr>
          <w:trHeight w:val="345"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收     入</w:t>
            </w:r>
          </w:p>
        </w:tc>
        <w:tc>
          <w:tcPr>
            <w:tcW w:w="4528" w:type="dxa"/>
            <w:gridSpan w:val="2"/>
            <w:tcBorders>
              <w:top w:val="single" w:color="000000" w:sz="4" w:space="0"/>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支     出</w:t>
            </w:r>
          </w:p>
        </w:tc>
      </w:tr>
      <w:tr>
        <w:tblPrEx>
          <w:tblLayout w:type="fixed"/>
          <w:tblCellMar>
            <w:top w:w="15" w:type="dxa"/>
            <w:left w:w="15" w:type="dxa"/>
            <w:bottom w:w="15" w:type="dxa"/>
            <w:right w:w="15" w:type="dxa"/>
          </w:tblCellMar>
        </w:tblPrEx>
        <w:trPr>
          <w:trHeight w:val="345" w:hRule="atLeast"/>
        </w:trPr>
        <w:tc>
          <w:tcPr>
            <w:tcW w:w="1898" w:type="dxa"/>
            <w:tcBorders>
              <w:left w:val="single" w:color="000000" w:sz="4" w:space="0"/>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910" w:type="dxa"/>
            <w:tcBorders>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预算数</w:t>
            </w:r>
          </w:p>
        </w:tc>
        <w:tc>
          <w:tcPr>
            <w:tcW w:w="2247" w:type="dxa"/>
            <w:tcBorders>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功能分类</w:t>
            </w:r>
          </w:p>
        </w:tc>
        <w:tc>
          <w:tcPr>
            <w:tcW w:w="2281" w:type="dxa"/>
            <w:tcBorders>
              <w:bottom w:val="single" w:color="000000" w:sz="4" w:space="0"/>
              <w:right w:val="single" w:color="000000" w:sz="4" w:space="0"/>
            </w:tcBorders>
            <w:shd w:val="clear" w:color="auto" w:fill="CC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预算数</w:t>
            </w: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财政拨款（补助）</w:t>
            </w:r>
          </w:p>
        </w:tc>
        <w:tc>
          <w:tcPr>
            <w:tcW w:w="191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201 一般公共服务支出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一般公共预算</w:t>
            </w:r>
          </w:p>
        </w:tc>
        <w:tc>
          <w:tcPr>
            <w:tcW w:w="191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202 外交支出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政府性基金预算</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203 国防支出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204 公共安全支出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 教育支出</w:t>
            </w:r>
          </w:p>
        </w:tc>
        <w:tc>
          <w:tcPr>
            <w:tcW w:w="228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206 科学技术支出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207 文化体育与传媒支出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财政拨款结余结转</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207 文化体育与传媒支出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结转</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208 社会保障和就业支出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结余</w:t>
            </w: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209 社会保险基金支出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210 医疗卫生与计划生育支出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211 节能环保支出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212 城乡社区支出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213 农林水支出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214 交通运输支出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215 资源勘探信息等支出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216 商业服务业等支出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217 金融支出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219 援助其他地区支出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220 国土海洋气象等支出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221 住房保障支出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222 粮油物资储备支出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223 国有资本经营预算支出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224 灾害防治及应急管理支出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227 预备费</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228 国债还本付息支出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229 其他支出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231 债务还本支出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232 债务付息支出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233 债务发行费用支出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小      计</w:t>
            </w:r>
          </w:p>
        </w:tc>
        <w:tc>
          <w:tcPr>
            <w:tcW w:w="228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910"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230 转移性支出</w:t>
            </w:r>
          </w:p>
        </w:tc>
        <w:tc>
          <w:tcPr>
            <w:tcW w:w="228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8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收 入 总 计</w:t>
            </w:r>
          </w:p>
        </w:tc>
        <w:tc>
          <w:tcPr>
            <w:tcW w:w="191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24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支 出 总 计</w:t>
            </w:r>
          </w:p>
        </w:tc>
        <w:tc>
          <w:tcPr>
            <w:tcW w:w="228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670"/>
        <w:gridCol w:w="705"/>
        <w:gridCol w:w="656"/>
        <w:gridCol w:w="1695"/>
        <w:gridCol w:w="857"/>
        <w:gridCol w:w="782"/>
        <w:gridCol w:w="883"/>
        <w:gridCol w:w="734"/>
        <w:gridCol w:w="418"/>
        <w:gridCol w:w="478"/>
        <w:gridCol w:w="458"/>
      </w:tblGrid>
      <w:tr>
        <w:tblPrEx>
          <w:tblLayout w:type="fixed"/>
          <w:tblCellMar>
            <w:top w:w="15" w:type="dxa"/>
            <w:left w:w="15" w:type="dxa"/>
            <w:bottom w:w="15" w:type="dxa"/>
            <w:right w:w="15" w:type="dxa"/>
          </w:tblCellMar>
        </w:tblPrEx>
        <w:trPr>
          <w:trHeight w:val="345" w:hRule="atLeast"/>
        </w:trPr>
        <w:tc>
          <w:tcPr>
            <w:tcW w:w="2031" w:type="dxa"/>
            <w:gridSpan w:val="3"/>
            <w:shd w:val="clear" w:color="auto" w:fill="FFFFFF"/>
          </w:tcPr>
          <w:p>
            <w:pPr>
              <w:widowControl/>
              <w:jc w:val="left"/>
              <w:textAlignment w:val="top"/>
              <w:rPr>
                <w:rFonts w:ascii="宋体" w:hAnsi="宋体" w:cs="宋体"/>
                <w:b/>
                <w:color w:val="000000"/>
                <w:sz w:val="26"/>
                <w:szCs w:val="26"/>
              </w:rPr>
            </w:pPr>
            <w:r>
              <w:rPr>
                <w:rFonts w:hint="eastAsia" w:ascii="宋体" w:hAnsi="宋体" w:cs="宋体"/>
                <w:b/>
                <w:color w:val="000000"/>
                <w:kern w:val="0"/>
                <w:sz w:val="26"/>
                <w:szCs w:val="26"/>
                <w:lang w:bidi="ar"/>
              </w:rPr>
              <w:t>表二：</w:t>
            </w:r>
          </w:p>
        </w:tc>
        <w:tc>
          <w:tcPr>
            <w:tcW w:w="1695" w:type="dxa"/>
            <w:shd w:val="clear" w:color="auto" w:fill="FFFFFF"/>
          </w:tcPr>
          <w:p>
            <w:pPr>
              <w:jc w:val="left"/>
              <w:rPr>
                <w:rFonts w:ascii="宋体" w:hAnsi="宋体" w:cs="宋体"/>
                <w:color w:val="000000"/>
                <w:sz w:val="20"/>
                <w:szCs w:val="20"/>
              </w:rPr>
            </w:pPr>
          </w:p>
        </w:tc>
        <w:tc>
          <w:tcPr>
            <w:tcW w:w="857" w:type="dxa"/>
            <w:shd w:val="clear" w:color="auto" w:fill="FFFFFF"/>
          </w:tcPr>
          <w:p>
            <w:pPr>
              <w:jc w:val="left"/>
              <w:rPr>
                <w:rFonts w:ascii="宋体" w:hAnsi="宋体" w:cs="宋体"/>
                <w:color w:val="000000"/>
                <w:sz w:val="20"/>
                <w:szCs w:val="20"/>
              </w:rPr>
            </w:pPr>
          </w:p>
        </w:tc>
        <w:tc>
          <w:tcPr>
            <w:tcW w:w="782" w:type="dxa"/>
            <w:shd w:val="clear" w:color="auto" w:fill="FFFFFF"/>
          </w:tcPr>
          <w:p>
            <w:pPr>
              <w:jc w:val="left"/>
              <w:rPr>
                <w:rFonts w:ascii="宋体" w:hAnsi="宋体" w:cs="宋体"/>
                <w:color w:val="000000"/>
                <w:sz w:val="20"/>
                <w:szCs w:val="20"/>
              </w:rPr>
            </w:pPr>
          </w:p>
        </w:tc>
        <w:tc>
          <w:tcPr>
            <w:tcW w:w="883" w:type="dxa"/>
            <w:shd w:val="clear" w:color="auto" w:fill="FFFFFF"/>
          </w:tcPr>
          <w:p>
            <w:pPr>
              <w:jc w:val="left"/>
              <w:rPr>
                <w:rFonts w:ascii="宋体" w:hAnsi="宋体" w:cs="宋体"/>
                <w:color w:val="000000"/>
                <w:sz w:val="20"/>
                <w:szCs w:val="20"/>
              </w:rPr>
            </w:pPr>
          </w:p>
        </w:tc>
        <w:tc>
          <w:tcPr>
            <w:tcW w:w="734" w:type="dxa"/>
            <w:shd w:val="clear" w:color="auto" w:fill="FFFFFF"/>
          </w:tcPr>
          <w:p>
            <w:pPr>
              <w:jc w:val="left"/>
              <w:rPr>
                <w:rFonts w:ascii="宋体" w:hAnsi="宋体" w:cs="宋体"/>
                <w:color w:val="000000"/>
                <w:sz w:val="20"/>
                <w:szCs w:val="20"/>
              </w:rPr>
            </w:pPr>
          </w:p>
        </w:tc>
        <w:tc>
          <w:tcPr>
            <w:tcW w:w="418" w:type="dxa"/>
            <w:shd w:val="clear" w:color="auto" w:fill="FFFFFF"/>
          </w:tcPr>
          <w:p>
            <w:pPr>
              <w:jc w:val="left"/>
              <w:rPr>
                <w:rFonts w:ascii="宋体" w:hAnsi="宋体" w:cs="宋体"/>
                <w:color w:val="000000"/>
                <w:sz w:val="20"/>
                <w:szCs w:val="20"/>
              </w:rPr>
            </w:pPr>
          </w:p>
        </w:tc>
        <w:tc>
          <w:tcPr>
            <w:tcW w:w="478" w:type="dxa"/>
            <w:shd w:val="clear" w:color="auto" w:fill="FFFFFF"/>
          </w:tcPr>
          <w:p>
            <w:pPr>
              <w:jc w:val="left"/>
              <w:rPr>
                <w:rFonts w:ascii="宋体" w:hAnsi="宋体" w:cs="宋体"/>
                <w:color w:val="000000"/>
                <w:sz w:val="20"/>
                <w:szCs w:val="20"/>
              </w:rPr>
            </w:pPr>
          </w:p>
        </w:tc>
        <w:tc>
          <w:tcPr>
            <w:tcW w:w="458" w:type="dxa"/>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45" w:hRule="atLeast"/>
        </w:trPr>
        <w:tc>
          <w:tcPr>
            <w:tcW w:w="7878" w:type="dxa"/>
            <w:gridSpan w:val="10"/>
            <w:shd w:val="clear" w:color="auto" w:fill="FFFFFF"/>
            <w:vAlign w:val="center"/>
          </w:tcPr>
          <w:p>
            <w:pPr>
              <w:widowControl/>
              <w:jc w:val="center"/>
              <w:textAlignment w:val="center"/>
              <w:rPr>
                <w:rFonts w:ascii="宋体" w:hAnsi="宋体" w:cs="宋体"/>
                <w:b/>
                <w:color w:val="000000"/>
                <w:sz w:val="30"/>
                <w:szCs w:val="30"/>
              </w:rPr>
            </w:pPr>
            <w:r>
              <w:rPr>
                <w:rFonts w:hint="eastAsia" w:ascii="宋体" w:hAnsi="宋体" w:cs="宋体"/>
                <w:b/>
                <w:color w:val="000000"/>
                <w:kern w:val="0"/>
                <w:sz w:val="30"/>
                <w:szCs w:val="30"/>
                <w:lang w:bidi="ar"/>
              </w:rPr>
              <w:t>部门收入总体情况表</w:t>
            </w:r>
          </w:p>
        </w:tc>
        <w:tc>
          <w:tcPr>
            <w:tcW w:w="458" w:type="dxa"/>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2031"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填报部门：乌鲁木齐市第十九幼儿园</w:t>
            </w:r>
          </w:p>
        </w:tc>
        <w:tc>
          <w:tcPr>
            <w:tcW w:w="1695" w:type="dxa"/>
            <w:shd w:val="clear" w:color="auto" w:fill="FFFFFF"/>
          </w:tcPr>
          <w:p>
            <w:pPr>
              <w:jc w:val="left"/>
              <w:rPr>
                <w:rFonts w:ascii="宋体" w:hAnsi="宋体" w:cs="宋体"/>
                <w:color w:val="000000"/>
                <w:sz w:val="20"/>
                <w:szCs w:val="20"/>
              </w:rPr>
            </w:pPr>
          </w:p>
        </w:tc>
        <w:tc>
          <w:tcPr>
            <w:tcW w:w="857" w:type="dxa"/>
            <w:shd w:val="clear" w:color="auto" w:fill="FFFFFF"/>
          </w:tcPr>
          <w:p>
            <w:pPr>
              <w:jc w:val="left"/>
              <w:rPr>
                <w:rFonts w:ascii="宋体" w:hAnsi="宋体" w:cs="宋体"/>
                <w:color w:val="000000"/>
                <w:sz w:val="20"/>
                <w:szCs w:val="20"/>
              </w:rPr>
            </w:pPr>
          </w:p>
        </w:tc>
        <w:tc>
          <w:tcPr>
            <w:tcW w:w="782" w:type="dxa"/>
            <w:shd w:val="clear" w:color="auto" w:fill="FFFFFF"/>
          </w:tcPr>
          <w:p>
            <w:pPr>
              <w:jc w:val="left"/>
              <w:rPr>
                <w:rFonts w:ascii="宋体" w:hAnsi="宋体" w:cs="宋体"/>
                <w:color w:val="000000"/>
                <w:sz w:val="20"/>
                <w:szCs w:val="20"/>
              </w:rPr>
            </w:pPr>
          </w:p>
        </w:tc>
        <w:tc>
          <w:tcPr>
            <w:tcW w:w="883" w:type="dxa"/>
            <w:shd w:val="clear" w:color="auto" w:fill="FFFFFF"/>
          </w:tcPr>
          <w:p>
            <w:pPr>
              <w:jc w:val="left"/>
              <w:rPr>
                <w:rFonts w:ascii="宋体" w:hAnsi="宋体" w:cs="宋体"/>
                <w:color w:val="000000"/>
                <w:sz w:val="20"/>
                <w:szCs w:val="20"/>
              </w:rPr>
            </w:pPr>
          </w:p>
        </w:tc>
        <w:tc>
          <w:tcPr>
            <w:tcW w:w="734" w:type="dxa"/>
            <w:shd w:val="clear" w:color="auto" w:fill="FFFFFF"/>
          </w:tcPr>
          <w:p>
            <w:pPr>
              <w:jc w:val="left"/>
              <w:rPr>
                <w:rFonts w:ascii="宋体" w:hAnsi="宋体" w:cs="宋体"/>
                <w:color w:val="000000"/>
                <w:sz w:val="20"/>
                <w:szCs w:val="20"/>
              </w:rPr>
            </w:pPr>
          </w:p>
        </w:tc>
        <w:tc>
          <w:tcPr>
            <w:tcW w:w="418" w:type="dxa"/>
            <w:shd w:val="clear" w:color="auto" w:fill="FFFFFF"/>
          </w:tcPr>
          <w:p>
            <w:pPr>
              <w:jc w:val="left"/>
              <w:rPr>
                <w:rFonts w:ascii="宋体" w:hAnsi="宋体" w:cs="宋体"/>
                <w:color w:val="000000"/>
                <w:sz w:val="20"/>
                <w:szCs w:val="20"/>
              </w:rPr>
            </w:pPr>
          </w:p>
        </w:tc>
        <w:tc>
          <w:tcPr>
            <w:tcW w:w="936" w:type="dxa"/>
            <w:gridSpan w:val="2"/>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169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功能分类科目名称</w:t>
            </w:r>
          </w:p>
        </w:tc>
        <w:tc>
          <w:tcPr>
            <w:tcW w:w="85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总计</w:t>
            </w:r>
          </w:p>
        </w:tc>
        <w:tc>
          <w:tcPr>
            <w:tcW w:w="2399" w:type="dxa"/>
            <w:gridSpan w:val="3"/>
            <w:tcBorders>
              <w:top w:val="single" w:color="000000" w:sz="4" w:space="0"/>
              <w:bottom w:val="single" w:color="000000" w:sz="4" w:space="0"/>
              <w:right w:val="single" w:color="000000" w:sz="4" w:space="0"/>
            </w:tcBorders>
            <w:shd w:val="clear" w:color="auto" w:fill="FFFF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财政拨款</w:t>
            </w:r>
          </w:p>
        </w:tc>
        <w:tc>
          <w:tcPr>
            <w:tcW w:w="41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财政拨款结余结转</w:t>
            </w:r>
          </w:p>
        </w:tc>
      </w:tr>
      <w:tr>
        <w:tblPrEx>
          <w:tblLayout w:type="fixed"/>
          <w:tblCellMar>
            <w:top w:w="15" w:type="dxa"/>
            <w:left w:w="15" w:type="dxa"/>
            <w:bottom w:w="15" w:type="dxa"/>
            <w:right w:w="15" w:type="dxa"/>
          </w:tblCellMar>
        </w:tblPrEx>
        <w:trPr>
          <w:trHeight w:val="1155" w:hRule="atLeast"/>
        </w:trPr>
        <w:tc>
          <w:tcPr>
            <w:tcW w:w="67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70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656"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69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5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一般公共预算拨款</w:t>
            </w:r>
          </w:p>
        </w:tc>
        <w:tc>
          <w:tcPr>
            <w:tcW w:w="734"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政府性基金预算拨款</w:t>
            </w:r>
          </w:p>
        </w:tc>
        <w:tc>
          <w:tcPr>
            <w:tcW w:w="41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78"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结转</w:t>
            </w:r>
          </w:p>
        </w:tc>
        <w:tc>
          <w:tcPr>
            <w:tcW w:w="458"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结余</w:t>
            </w:r>
          </w:p>
        </w:tc>
      </w:tr>
      <w:tr>
        <w:tblPrEx>
          <w:tblLayout w:type="fixed"/>
          <w:tblCellMar>
            <w:top w:w="15" w:type="dxa"/>
            <w:left w:w="15" w:type="dxa"/>
            <w:bottom w:w="15" w:type="dxa"/>
            <w:right w:w="15" w:type="dxa"/>
          </w:tblCellMar>
        </w:tblPrEx>
        <w:trPr>
          <w:trHeight w:val="301" w:hRule="atLeast"/>
        </w:trPr>
        <w:tc>
          <w:tcPr>
            <w:tcW w:w="670"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总计:</w:t>
            </w:r>
          </w:p>
        </w:tc>
        <w:tc>
          <w:tcPr>
            <w:tcW w:w="70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65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69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57"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82"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88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3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670"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0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65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69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乌鲁木齐市第十九幼儿园</w:t>
            </w:r>
          </w:p>
        </w:tc>
        <w:tc>
          <w:tcPr>
            <w:tcW w:w="857"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82"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88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3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670"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205</w:t>
            </w:r>
          </w:p>
        </w:tc>
        <w:tc>
          <w:tcPr>
            <w:tcW w:w="70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65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69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857"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82"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88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3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670"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70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02</w:t>
            </w:r>
          </w:p>
        </w:tc>
        <w:tc>
          <w:tcPr>
            <w:tcW w:w="65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69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普通教育</w:t>
            </w:r>
          </w:p>
        </w:tc>
        <w:tc>
          <w:tcPr>
            <w:tcW w:w="857"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82"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88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3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670"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70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02</w:t>
            </w:r>
          </w:p>
        </w:tc>
        <w:tc>
          <w:tcPr>
            <w:tcW w:w="656"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01</w:t>
            </w:r>
          </w:p>
        </w:tc>
        <w:tc>
          <w:tcPr>
            <w:tcW w:w="169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学前教育</w:t>
            </w:r>
          </w:p>
        </w:tc>
        <w:tc>
          <w:tcPr>
            <w:tcW w:w="857"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82"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88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73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670"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0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65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69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5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82"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83"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34"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418"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47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458"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887"/>
        <w:gridCol w:w="915"/>
        <w:gridCol w:w="916"/>
        <w:gridCol w:w="1819"/>
        <w:gridCol w:w="1446"/>
        <w:gridCol w:w="907"/>
        <w:gridCol w:w="1446"/>
      </w:tblGrid>
      <w:tr>
        <w:tblPrEx>
          <w:tblLayout w:type="fixed"/>
          <w:tblCellMar>
            <w:top w:w="15" w:type="dxa"/>
            <w:left w:w="15" w:type="dxa"/>
            <w:bottom w:w="15" w:type="dxa"/>
            <w:right w:w="15" w:type="dxa"/>
          </w:tblCellMar>
        </w:tblPrEx>
        <w:trPr>
          <w:trHeight w:val="345" w:hRule="atLeast"/>
        </w:trPr>
        <w:tc>
          <w:tcPr>
            <w:tcW w:w="8336" w:type="dxa"/>
            <w:gridSpan w:val="7"/>
            <w:shd w:val="clear" w:color="auto" w:fill="FFFFFF"/>
          </w:tcPr>
          <w:p>
            <w:pPr>
              <w:widowControl/>
              <w:jc w:val="left"/>
              <w:textAlignment w:val="top"/>
              <w:rPr>
                <w:rFonts w:ascii="宋体" w:hAnsi="宋体" w:cs="宋体"/>
                <w:b/>
                <w:color w:val="000000"/>
                <w:sz w:val="26"/>
                <w:szCs w:val="26"/>
              </w:rPr>
            </w:pPr>
            <w:r>
              <w:rPr>
                <w:rFonts w:hint="eastAsia" w:ascii="宋体" w:hAnsi="宋体" w:cs="宋体"/>
                <w:b/>
                <w:color w:val="000000"/>
                <w:kern w:val="0"/>
                <w:sz w:val="26"/>
                <w:szCs w:val="26"/>
                <w:lang w:bidi="ar"/>
              </w:rPr>
              <w:t>表三：</w:t>
            </w:r>
          </w:p>
        </w:tc>
      </w:tr>
      <w:tr>
        <w:tblPrEx>
          <w:tblLayout w:type="fixed"/>
          <w:tblCellMar>
            <w:top w:w="15" w:type="dxa"/>
            <w:left w:w="15" w:type="dxa"/>
            <w:bottom w:w="15" w:type="dxa"/>
            <w:right w:w="15" w:type="dxa"/>
          </w:tblCellMar>
        </w:tblPrEx>
        <w:trPr>
          <w:trHeight w:val="480" w:hRule="atLeast"/>
        </w:trPr>
        <w:tc>
          <w:tcPr>
            <w:tcW w:w="8336" w:type="dxa"/>
            <w:gridSpan w:val="7"/>
            <w:shd w:val="clear" w:color="auto" w:fill="FFFFFF"/>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部门支出总体情况表</w:t>
            </w:r>
          </w:p>
        </w:tc>
      </w:tr>
      <w:tr>
        <w:tblPrEx>
          <w:tblLayout w:type="fixed"/>
          <w:tblCellMar>
            <w:top w:w="15" w:type="dxa"/>
            <w:left w:w="15" w:type="dxa"/>
            <w:bottom w:w="15" w:type="dxa"/>
            <w:right w:w="15" w:type="dxa"/>
          </w:tblCellMar>
        </w:tblPrEx>
        <w:trPr>
          <w:trHeight w:val="345" w:hRule="atLeast"/>
        </w:trPr>
        <w:tc>
          <w:tcPr>
            <w:tcW w:w="2718"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编制部门：乌鲁木齐市第十九幼儿园</w:t>
            </w:r>
          </w:p>
        </w:tc>
        <w:tc>
          <w:tcPr>
            <w:tcW w:w="1819" w:type="dxa"/>
            <w:shd w:val="clear" w:color="auto" w:fill="FFFFFF"/>
          </w:tcPr>
          <w:p>
            <w:pPr>
              <w:jc w:val="left"/>
              <w:rPr>
                <w:rFonts w:ascii="宋体" w:hAnsi="宋体" w:cs="宋体"/>
                <w:color w:val="000000"/>
                <w:sz w:val="20"/>
                <w:szCs w:val="20"/>
              </w:rPr>
            </w:pPr>
          </w:p>
        </w:tc>
        <w:tc>
          <w:tcPr>
            <w:tcW w:w="1446" w:type="dxa"/>
            <w:shd w:val="clear" w:color="auto" w:fill="FFFFFF"/>
          </w:tcPr>
          <w:p>
            <w:pPr>
              <w:jc w:val="left"/>
              <w:rPr>
                <w:rFonts w:ascii="宋体" w:hAnsi="宋体" w:cs="宋体"/>
                <w:color w:val="000000"/>
                <w:sz w:val="20"/>
                <w:szCs w:val="20"/>
              </w:rPr>
            </w:pPr>
          </w:p>
        </w:tc>
        <w:tc>
          <w:tcPr>
            <w:tcW w:w="907" w:type="dxa"/>
            <w:shd w:val="clear" w:color="auto" w:fill="FFFFFF"/>
          </w:tcPr>
          <w:p>
            <w:pPr>
              <w:jc w:val="left"/>
              <w:rPr>
                <w:rFonts w:ascii="宋体" w:hAnsi="宋体" w:cs="宋体"/>
                <w:color w:val="000000"/>
                <w:sz w:val="20"/>
                <w:szCs w:val="20"/>
              </w:rPr>
            </w:pPr>
          </w:p>
        </w:tc>
        <w:tc>
          <w:tcPr>
            <w:tcW w:w="1446" w:type="dxa"/>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453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3799"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支出预算</w:t>
            </w:r>
          </w:p>
        </w:tc>
      </w:tr>
      <w:tr>
        <w:tblPrEx>
          <w:tblLayout w:type="fixed"/>
          <w:tblCellMar>
            <w:top w:w="15" w:type="dxa"/>
            <w:left w:w="15" w:type="dxa"/>
            <w:bottom w:w="15" w:type="dxa"/>
            <w:right w:w="15" w:type="dxa"/>
          </w:tblCellMar>
        </w:tblPrEx>
        <w:trPr>
          <w:trHeight w:val="345" w:hRule="atLeast"/>
        </w:trPr>
        <w:tc>
          <w:tcPr>
            <w:tcW w:w="2718" w:type="dxa"/>
            <w:gridSpan w:val="3"/>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1819"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功能分类科目名称</w:t>
            </w:r>
          </w:p>
        </w:tc>
        <w:tc>
          <w:tcPr>
            <w:tcW w:w="1446"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  计</w:t>
            </w:r>
          </w:p>
        </w:tc>
        <w:tc>
          <w:tcPr>
            <w:tcW w:w="907"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446"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15" w:type="dxa"/>
            <w:left w:w="15" w:type="dxa"/>
            <w:bottom w:w="15" w:type="dxa"/>
            <w:right w:w="15" w:type="dxa"/>
          </w:tblCellMar>
        </w:tblPrEx>
        <w:trPr>
          <w:trHeight w:val="345" w:hRule="atLeast"/>
        </w:trPr>
        <w:tc>
          <w:tcPr>
            <w:tcW w:w="2718" w:type="dxa"/>
            <w:gridSpan w:val="3"/>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819"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44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907"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44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40" w:hRule="atLeast"/>
        </w:trPr>
        <w:tc>
          <w:tcPr>
            <w:tcW w:w="887"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915" w:type="dxa"/>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916" w:type="dxa"/>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819"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44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907"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44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总计:</w:t>
            </w:r>
          </w:p>
        </w:tc>
        <w:tc>
          <w:tcPr>
            <w:tcW w:w="91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1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0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1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乌鲁木齐市第十九幼儿园</w:t>
            </w: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0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205</w:t>
            </w:r>
          </w:p>
        </w:tc>
        <w:tc>
          <w:tcPr>
            <w:tcW w:w="91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1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0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91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02</w:t>
            </w:r>
          </w:p>
        </w:tc>
        <w:tc>
          <w:tcPr>
            <w:tcW w:w="91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1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普通教育</w:t>
            </w: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0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915"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02</w:t>
            </w:r>
          </w:p>
        </w:tc>
        <w:tc>
          <w:tcPr>
            <w:tcW w:w="916"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01</w:t>
            </w:r>
          </w:p>
        </w:tc>
        <w:tc>
          <w:tcPr>
            <w:tcW w:w="181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学前教育</w:t>
            </w: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0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87"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1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0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44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1344"/>
        <w:gridCol w:w="1373"/>
        <w:gridCol w:w="1880"/>
        <w:gridCol w:w="919"/>
        <w:gridCol w:w="984"/>
        <w:gridCol w:w="1836"/>
      </w:tblGrid>
      <w:tr>
        <w:tblPrEx>
          <w:tblLayout w:type="fixed"/>
          <w:tblCellMar>
            <w:top w:w="15" w:type="dxa"/>
            <w:left w:w="15" w:type="dxa"/>
            <w:bottom w:w="15" w:type="dxa"/>
            <w:right w:w="15" w:type="dxa"/>
          </w:tblCellMar>
        </w:tblPrEx>
        <w:trPr>
          <w:trHeight w:val="345" w:hRule="atLeast"/>
        </w:trPr>
        <w:tc>
          <w:tcPr>
            <w:tcW w:w="1344" w:type="dxa"/>
            <w:shd w:val="clear" w:color="auto" w:fill="FFFFFF"/>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表四：</w:t>
            </w:r>
          </w:p>
        </w:tc>
        <w:tc>
          <w:tcPr>
            <w:tcW w:w="1373" w:type="dxa"/>
            <w:shd w:val="clear" w:color="auto" w:fill="FFFFFF"/>
          </w:tcPr>
          <w:p>
            <w:pPr>
              <w:jc w:val="left"/>
              <w:rPr>
                <w:rFonts w:ascii="宋体" w:hAnsi="宋体" w:cs="宋体"/>
                <w:color w:val="000000"/>
                <w:sz w:val="20"/>
                <w:szCs w:val="20"/>
              </w:rPr>
            </w:pPr>
          </w:p>
        </w:tc>
        <w:tc>
          <w:tcPr>
            <w:tcW w:w="1880" w:type="dxa"/>
            <w:shd w:val="clear" w:color="auto" w:fill="FFFFFF"/>
          </w:tcPr>
          <w:p>
            <w:pPr>
              <w:jc w:val="left"/>
              <w:rPr>
                <w:rFonts w:ascii="宋体" w:hAnsi="宋体" w:cs="宋体"/>
                <w:color w:val="000000"/>
                <w:sz w:val="20"/>
                <w:szCs w:val="20"/>
              </w:rPr>
            </w:pPr>
          </w:p>
        </w:tc>
        <w:tc>
          <w:tcPr>
            <w:tcW w:w="919" w:type="dxa"/>
            <w:shd w:val="clear" w:color="auto" w:fill="FFFFFF"/>
          </w:tcPr>
          <w:p>
            <w:pPr>
              <w:jc w:val="left"/>
              <w:rPr>
                <w:rFonts w:ascii="宋体" w:hAnsi="宋体" w:cs="宋体"/>
                <w:color w:val="000000"/>
                <w:sz w:val="20"/>
                <w:szCs w:val="20"/>
              </w:rPr>
            </w:pPr>
          </w:p>
        </w:tc>
        <w:tc>
          <w:tcPr>
            <w:tcW w:w="984" w:type="dxa"/>
            <w:shd w:val="clear" w:color="auto" w:fill="FFFFFF"/>
          </w:tcPr>
          <w:p>
            <w:pPr>
              <w:jc w:val="left"/>
              <w:rPr>
                <w:rFonts w:ascii="宋体" w:hAnsi="宋体" w:cs="宋体"/>
                <w:color w:val="000000"/>
                <w:sz w:val="20"/>
                <w:szCs w:val="20"/>
              </w:rPr>
            </w:pPr>
          </w:p>
        </w:tc>
        <w:tc>
          <w:tcPr>
            <w:tcW w:w="1836" w:type="dxa"/>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24" w:hRule="atLeast"/>
        </w:trPr>
        <w:tc>
          <w:tcPr>
            <w:tcW w:w="8336" w:type="dxa"/>
            <w:gridSpan w:val="6"/>
            <w:vMerge w:val="restart"/>
            <w:shd w:val="clear" w:color="auto" w:fill="FFFFFF"/>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财政拨款收支预算总体情况表</w:t>
            </w:r>
          </w:p>
        </w:tc>
      </w:tr>
      <w:tr>
        <w:tblPrEx>
          <w:tblLayout w:type="fixed"/>
          <w:tblCellMar>
            <w:top w:w="15" w:type="dxa"/>
            <w:left w:w="15" w:type="dxa"/>
            <w:bottom w:w="15" w:type="dxa"/>
            <w:right w:w="15" w:type="dxa"/>
          </w:tblCellMar>
        </w:tblPrEx>
        <w:trPr>
          <w:trHeight w:val="624" w:hRule="atLeast"/>
        </w:trPr>
        <w:tc>
          <w:tcPr>
            <w:tcW w:w="8336" w:type="dxa"/>
            <w:gridSpan w:val="6"/>
            <w:vMerge w:val="continue"/>
            <w:shd w:val="clear" w:color="auto" w:fill="FFFFFF"/>
            <w:vAlign w:val="center"/>
          </w:tcPr>
          <w:p>
            <w:pPr>
              <w:jc w:val="center"/>
              <w:rPr>
                <w:rFonts w:ascii="宋体" w:hAnsi="宋体" w:cs="宋体"/>
                <w:b/>
                <w:color w:val="000000"/>
                <w:sz w:val="28"/>
                <w:szCs w:val="28"/>
              </w:rPr>
            </w:pPr>
          </w:p>
        </w:tc>
      </w:tr>
      <w:tr>
        <w:tblPrEx>
          <w:tblLayout w:type="fixed"/>
          <w:tblCellMar>
            <w:top w:w="15" w:type="dxa"/>
            <w:left w:w="15" w:type="dxa"/>
            <w:bottom w:w="15" w:type="dxa"/>
            <w:right w:w="15" w:type="dxa"/>
          </w:tblCellMar>
        </w:tblPrEx>
        <w:trPr>
          <w:trHeight w:val="345" w:hRule="atLeast"/>
        </w:trPr>
        <w:tc>
          <w:tcPr>
            <w:tcW w:w="4597"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编制部门：乌鲁木齐市第十九幼儿园</w:t>
            </w:r>
          </w:p>
        </w:tc>
        <w:tc>
          <w:tcPr>
            <w:tcW w:w="919" w:type="dxa"/>
            <w:shd w:val="clear" w:color="auto" w:fill="FFFFFF"/>
          </w:tcPr>
          <w:p>
            <w:pPr>
              <w:jc w:val="left"/>
              <w:rPr>
                <w:rFonts w:ascii="宋体" w:hAnsi="宋体" w:cs="宋体"/>
                <w:color w:val="000000"/>
                <w:sz w:val="20"/>
                <w:szCs w:val="20"/>
              </w:rPr>
            </w:pPr>
          </w:p>
        </w:tc>
        <w:tc>
          <w:tcPr>
            <w:tcW w:w="2820" w:type="dxa"/>
            <w:gridSpan w:val="2"/>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单位：万元   </w:t>
            </w:r>
          </w:p>
        </w:tc>
      </w:tr>
      <w:tr>
        <w:tblPrEx>
          <w:tblLayout w:type="fixed"/>
          <w:tblCellMar>
            <w:top w:w="15" w:type="dxa"/>
            <w:left w:w="15" w:type="dxa"/>
            <w:bottom w:w="15" w:type="dxa"/>
            <w:right w:w="15" w:type="dxa"/>
          </w:tblCellMar>
        </w:tblPrEx>
        <w:trPr>
          <w:trHeight w:val="345" w:hRule="atLeast"/>
        </w:trPr>
        <w:tc>
          <w:tcPr>
            <w:tcW w:w="2717" w:type="dxa"/>
            <w:gridSpan w:val="2"/>
            <w:tcBorders>
              <w:top w:val="single" w:color="000000" w:sz="4" w:space="0"/>
              <w:left w:val="single" w:color="000000" w:sz="4" w:space="0"/>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财政拨款收入</w:t>
            </w:r>
          </w:p>
        </w:tc>
        <w:tc>
          <w:tcPr>
            <w:tcW w:w="5619" w:type="dxa"/>
            <w:gridSpan w:val="4"/>
            <w:tcBorders>
              <w:top w:val="single" w:color="000000" w:sz="4" w:space="0"/>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财政拨款支出</w:t>
            </w:r>
          </w:p>
        </w:tc>
      </w:tr>
      <w:tr>
        <w:tblPrEx>
          <w:tblLayout w:type="fixed"/>
          <w:tblCellMar>
            <w:top w:w="15" w:type="dxa"/>
            <w:left w:w="15" w:type="dxa"/>
            <w:bottom w:w="15" w:type="dxa"/>
            <w:right w:w="15" w:type="dxa"/>
          </w:tblCellMar>
        </w:tblPrEx>
        <w:trPr>
          <w:trHeight w:val="345" w:hRule="atLeast"/>
        </w:trPr>
        <w:tc>
          <w:tcPr>
            <w:tcW w:w="1344" w:type="dxa"/>
            <w:tcBorders>
              <w:left w:val="single" w:color="000000" w:sz="4" w:space="0"/>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373" w:type="dxa"/>
            <w:tcBorders>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880" w:type="dxa"/>
            <w:tcBorders>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功能分类</w:t>
            </w:r>
          </w:p>
        </w:tc>
        <w:tc>
          <w:tcPr>
            <w:tcW w:w="919" w:type="dxa"/>
            <w:tcBorders>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合计</w:t>
            </w:r>
          </w:p>
        </w:tc>
        <w:tc>
          <w:tcPr>
            <w:tcW w:w="984" w:type="dxa"/>
            <w:tcBorders>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一般公共预算</w:t>
            </w:r>
          </w:p>
        </w:tc>
        <w:tc>
          <w:tcPr>
            <w:tcW w:w="1836" w:type="dxa"/>
            <w:tcBorders>
              <w:bottom w:val="single" w:color="000000" w:sz="4" w:space="0"/>
              <w:right w:val="single" w:color="000000" w:sz="4" w:space="0"/>
            </w:tcBorders>
            <w:shd w:val="clear" w:color="auto" w:fill="99CC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政府基金预算</w:t>
            </w: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财政拨款（补助）</w:t>
            </w:r>
          </w:p>
        </w:tc>
        <w:tc>
          <w:tcPr>
            <w:tcW w:w="137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201 一般公共服务支出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一般公共预算</w:t>
            </w:r>
          </w:p>
        </w:tc>
        <w:tc>
          <w:tcPr>
            <w:tcW w:w="137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202 外交支出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政府性基金预算</w:t>
            </w: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203 国防支出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204 公共安全支出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 教育支出</w:t>
            </w:r>
          </w:p>
        </w:tc>
        <w:tc>
          <w:tcPr>
            <w:tcW w:w="91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8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206 科学技术支出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207 文化体育与传媒支出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208 社会保障和就业支出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209 社会保险基金支出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210 医疗卫生与计划生育支出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211 节能环保支出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212 城乡社区支出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213 农林水支出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214 交通运输支出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215 资源勘探信息等支出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216 商业服务业等支出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217 金融支出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219 援助其他地区支出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220 国土海洋气象等支出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221 住房保障支出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222 粮油物资储备支出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223 国有资本经营预算支出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224 灾害防治及应急管理支出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227 预备费</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228 国债还本付息支出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229 其他支出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231 债务还本支出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232 债务付息支出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233 债务发行费用支出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小      计</w:t>
            </w:r>
          </w:p>
        </w:tc>
        <w:tc>
          <w:tcPr>
            <w:tcW w:w="137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小      计</w:t>
            </w:r>
          </w:p>
        </w:tc>
        <w:tc>
          <w:tcPr>
            <w:tcW w:w="91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8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230 转移性支出</w:t>
            </w:r>
          </w:p>
        </w:tc>
        <w:tc>
          <w:tcPr>
            <w:tcW w:w="919"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收 入 总 计</w:t>
            </w:r>
          </w:p>
        </w:tc>
        <w:tc>
          <w:tcPr>
            <w:tcW w:w="1373"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80"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支 出 总 计</w:t>
            </w:r>
          </w:p>
        </w:tc>
        <w:tc>
          <w:tcPr>
            <w:tcW w:w="91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98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01" w:hRule="atLeast"/>
        </w:trPr>
        <w:tc>
          <w:tcPr>
            <w:tcW w:w="1344"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73"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80"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1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984"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83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839"/>
        <w:gridCol w:w="672"/>
        <w:gridCol w:w="839"/>
        <w:gridCol w:w="2039"/>
        <w:gridCol w:w="1331"/>
        <w:gridCol w:w="1202"/>
        <w:gridCol w:w="1414"/>
      </w:tblGrid>
      <w:tr>
        <w:tblPrEx>
          <w:tblLayout w:type="fixed"/>
          <w:tblCellMar>
            <w:top w:w="15" w:type="dxa"/>
            <w:left w:w="15" w:type="dxa"/>
            <w:bottom w:w="15" w:type="dxa"/>
            <w:right w:w="15" w:type="dxa"/>
          </w:tblCellMar>
        </w:tblPrEx>
        <w:trPr>
          <w:trHeight w:val="375" w:hRule="atLeast"/>
        </w:trPr>
        <w:tc>
          <w:tcPr>
            <w:tcW w:w="8336" w:type="dxa"/>
            <w:gridSpan w:val="7"/>
            <w:shd w:val="clear" w:color="auto" w:fill="FFFFFF"/>
            <w:vAlign w:val="bottom"/>
          </w:tcPr>
          <w:p>
            <w:pPr>
              <w:widowControl/>
              <w:jc w:val="left"/>
              <w:textAlignment w:val="bottom"/>
              <w:rPr>
                <w:rFonts w:ascii="宋体" w:hAnsi="宋体" w:cs="宋体"/>
                <w:b/>
                <w:color w:val="000000"/>
                <w:sz w:val="26"/>
                <w:szCs w:val="26"/>
              </w:rPr>
            </w:pPr>
            <w:r>
              <w:rPr>
                <w:rFonts w:hint="eastAsia" w:ascii="宋体" w:hAnsi="宋体" w:cs="宋体"/>
                <w:b/>
                <w:color w:val="000000"/>
                <w:kern w:val="0"/>
                <w:sz w:val="26"/>
                <w:szCs w:val="26"/>
                <w:lang w:bidi="ar"/>
              </w:rPr>
              <w:t>表五：</w:t>
            </w:r>
          </w:p>
        </w:tc>
      </w:tr>
      <w:tr>
        <w:tblPrEx>
          <w:tblLayout w:type="fixed"/>
          <w:tblCellMar>
            <w:top w:w="15" w:type="dxa"/>
            <w:left w:w="15" w:type="dxa"/>
            <w:bottom w:w="15" w:type="dxa"/>
            <w:right w:w="15" w:type="dxa"/>
          </w:tblCellMar>
        </w:tblPrEx>
        <w:trPr>
          <w:trHeight w:val="720" w:hRule="atLeast"/>
        </w:trPr>
        <w:tc>
          <w:tcPr>
            <w:tcW w:w="8336" w:type="dxa"/>
            <w:gridSpan w:val="7"/>
            <w:shd w:val="clear" w:color="auto" w:fill="FFFFFF"/>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一般公共预算支出情况表</w:t>
            </w:r>
          </w:p>
        </w:tc>
      </w:tr>
      <w:tr>
        <w:tblPrEx>
          <w:tblLayout w:type="fixed"/>
          <w:tblCellMar>
            <w:top w:w="15" w:type="dxa"/>
            <w:left w:w="15" w:type="dxa"/>
            <w:bottom w:w="15" w:type="dxa"/>
            <w:right w:w="15" w:type="dxa"/>
          </w:tblCellMar>
        </w:tblPrEx>
        <w:trPr>
          <w:trHeight w:val="345" w:hRule="atLeast"/>
        </w:trPr>
        <w:tc>
          <w:tcPr>
            <w:tcW w:w="2350" w:type="dxa"/>
            <w:gridSpan w:val="3"/>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编制部门：乌鲁木齐市第十九幼儿园</w:t>
            </w:r>
          </w:p>
        </w:tc>
        <w:tc>
          <w:tcPr>
            <w:tcW w:w="2039" w:type="dxa"/>
            <w:shd w:val="clear" w:color="auto" w:fill="FFFFFF"/>
          </w:tcPr>
          <w:p>
            <w:pPr>
              <w:jc w:val="left"/>
              <w:rPr>
                <w:rFonts w:ascii="宋体" w:hAnsi="宋体" w:cs="宋体"/>
                <w:color w:val="000000"/>
                <w:sz w:val="20"/>
                <w:szCs w:val="20"/>
              </w:rPr>
            </w:pPr>
          </w:p>
        </w:tc>
        <w:tc>
          <w:tcPr>
            <w:tcW w:w="1331" w:type="dxa"/>
            <w:shd w:val="clear" w:color="auto" w:fill="FFFFFF"/>
          </w:tcPr>
          <w:p>
            <w:pPr>
              <w:jc w:val="left"/>
              <w:rPr>
                <w:rFonts w:ascii="宋体" w:hAnsi="宋体" w:cs="宋体"/>
                <w:color w:val="000000"/>
                <w:sz w:val="20"/>
                <w:szCs w:val="20"/>
              </w:rPr>
            </w:pPr>
          </w:p>
        </w:tc>
        <w:tc>
          <w:tcPr>
            <w:tcW w:w="1202" w:type="dxa"/>
            <w:shd w:val="clear" w:color="auto" w:fill="FFFFFF"/>
          </w:tcPr>
          <w:p>
            <w:pPr>
              <w:jc w:val="left"/>
              <w:rPr>
                <w:rFonts w:ascii="宋体" w:hAnsi="宋体" w:cs="宋体"/>
                <w:color w:val="000000"/>
                <w:sz w:val="20"/>
                <w:szCs w:val="20"/>
              </w:rPr>
            </w:pPr>
          </w:p>
        </w:tc>
        <w:tc>
          <w:tcPr>
            <w:tcW w:w="1414" w:type="dxa"/>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4389"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3947"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一般公共预算支出</w:t>
            </w:r>
          </w:p>
        </w:tc>
      </w:tr>
      <w:tr>
        <w:tblPrEx>
          <w:tblLayout w:type="fixed"/>
          <w:tblCellMar>
            <w:top w:w="15" w:type="dxa"/>
            <w:left w:w="15" w:type="dxa"/>
            <w:bottom w:w="15" w:type="dxa"/>
            <w:right w:w="15" w:type="dxa"/>
          </w:tblCellMar>
        </w:tblPrEx>
        <w:trPr>
          <w:trHeight w:val="345" w:hRule="atLeast"/>
        </w:trPr>
        <w:tc>
          <w:tcPr>
            <w:tcW w:w="2350" w:type="dxa"/>
            <w:gridSpan w:val="3"/>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039"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功能分类科目名称</w:t>
            </w:r>
          </w:p>
        </w:tc>
        <w:tc>
          <w:tcPr>
            <w:tcW w:w="1331"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202"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414"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672" w:type="dxa"/>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839" w:type="dxa"/>
            <w:tcBorders>
              <w:bottom w:val="single" w:color="000000" w:sz="4" w:space="0"/>
              <w:right w:val="single" w:color="000000" w:sz="4" w:space="0"/>
            </w:tcBorders>
            <w:shd w:val="clear" w:color="auto" w:fill="99CC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039" w:type="dxa"/>
            <w:vMerge w:val="continue"/>
            <w:tcBorders>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331" w:type="dxa"/>
            <w:vMerge w:val="continue"/>
            <w:tcBorders>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202" w:type="dxa"/>
            <w:vMerge w:val="continue"/>
            <w:tcBorders>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c>
          <w:tcPr>
            <w:tcW w:w="1414" w:type="dxa"/>
            <w:vMerge w:val="continue"/>
            <w:tcBorders>
              <w:bottom w:val="single" w:color="000000" w:sz="4" w:space="0"/>
              <w:right w:val="single" w:color="000000" w:sz="4" w:space="0"/>
            </w:tcBorders>
            <w:shd w:val="clear" w:color="auto" w:fill="99CCFF"/>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总计:</w:t>
            </w:r>
          </w:p>
        </w:tc>
        <w:tc>
          <w:tcPr>
            <w:tcW w:w="672"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3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03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133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20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1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672"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3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03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乌鲁木齐市第十九幼儿园</w:t>
            </w:r>
          </w:p>
        </w:tc>
        <w:tc>
          <w:tcPr>
            <w:tcW w:w="133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20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1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205</w:t>
            </w:r>
          </w:p>
        </w:tc>
        <w:tc>
          <w:tcPr>
            <w:tcW w:w="672"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83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03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133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20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1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672"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02</w:t>
            </w:r>
          </w:p>
        </w:tc>
        <w:tc>
          <w:tcPr>
            <w:tcW w:w="83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03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普通教育</w:t>
            </w:r>
          </w:p>
        </w:tc>
        <w:tc>
          <w:tcPr>
            <w:tcW w:w="133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20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1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r>
        <w:tblPrEx>
          <w:tblLayout w:type="fixed"/>
          <w:tblCellMar>
            <w:top w:w="15" w:type="dxa"/>
            <w:left w:w="15" w:type="dxa"/>
            <w:bottom w:w="15" w:type="dxa"/>
            <w:right w:w="15" w:type="dxa"/>
          </w:tblCellMar>
        </w:tblPrEx>
        <w:trPr>
          <w:trHeight w:val="345" w:hRule="atLeast"/>
        </w:trPr>
        <w:tc>
          <w:tcPr>
            <w:tcW w:w="83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205</w:t>
            </w:r>
          </w:p>
        </w:tc>
        <w:tc>
          <w:tcPr>
            <w:tcW w:w="672"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02</w:t>
            </w:r>
          </w:p>
        </w:tc>
        <w:tc>
          <w:tcPr>
            <w:tcW w:w="83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01</w:t>
            </w:r>
          </w:p>
        </w:tc>
        <w:tc>
          <w:tcPr>
            <w:tcW w:w="2039"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学前教育</w:t>
            </w:r>
          </w:p>
        </w:tc>
        <w:tc>
          <w:tcPr>
            <w:tcW w:w="1331"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120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1414"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r>
    </w:tbl>
    <w:p>
      <w:pPr>
        <w:widowControl/>
        <w:outlineLvl w:val="1"/>
        <w:rPr>
          <w:rFonts w:ascii="宋体" w:hAnsi="宋体" w:cs="宋体"/>
          <w:color w:val="000000"/>
          <w:kern w:val="0"/>
          <w:szCs w:val="21"/>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983"/>
        <w:gridCol w:w="981"/>
        <w:gridCol w:w="1708"/>
        <w:gridCol w:w="1093"/>
        <w:gridCol w:w="1176"/>
        <w:gridCol w:w="2395"/>
      </w:tblGrid>
      <w:tr>
        <w:tblPrEx>
          <w:tblLayout w:type="fixed"/>
          <w:tblCellMar>
            <w:top w:w="15" w:type="dxa"/>
            <w:left w:w="15" w:type="dxa"/>
            <w:bottom w:w="15" w:type="dxa"/>
            <w:right w:w="15" w:type="dxa"/>
          </w:tblCellMar>
        </w:tblPrEx>
        <w:trPr>
          <w:trHeight w:val="345" w:hRule="atLeast"/>
        </w:trPr>
        <w:tc>
          <w:tcPr>
            <w:tcW w:w="983" w:type="dxa"/>
            <w:shd w:val="clear" w:color="auto" w:fill="FFFFFF"/>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lang w:bidi="ar"/>
              </w:rPr>
              <w:t>表六：</w:t>
            </w:r>
          </w:p>
        </w:tc>
        <w:tc>
          <w:tcPr>
            <w:tcW w:w="981" w:type="dxa"/>
            <w:shd w:val="clear" w:color="auto" w:fill="FFFFFF"/>
          </w:tcPr>
          <w:p>
            <w:pPr>
              <w:jc w:val="left"/>
              <w:rPr>
                <w:rFonts w:ascii="Default" w:hAnsi="Default" w:eastAsia="Default" w:cs="Default"/>
                <w:color w:val="000000"/>
                <w:sz w:val="20"/>
                <w:szCs w:val="20"/>
              </w:rPr>
            </w:pPr>
          </w:p>
        </w:tc>
        <w:tc>
          <w:tcPr>
            <w:tcW w:w="1708" w:type="dxa"/>
            <w:shd w:val="clear" w:color="auto" w:fill="FFFFFF"/>
          </w:tcPr>
          <w:p>
            <w:pPr>
              <w:jc w:val="left"/>
              <w:rPr>
                <w:rFonts w:ascii="Default" w:hAnsi="Default" w:eastAsia="Default" w:cs="Default"/>
                <w:color w:val="000000"/>
                <w:sz w:val="20"/>
                <w:szCs w:val="20"/>
              </w:rPr>
            </w:pPr>
          </w:p>
        </w:tc>
        <w:tc>
          <w:tcPr>
            <w:tcW w:w="1093" w:type="dxa"/>
            <w:shd w:val="clear" w:color="auto" w:fill="FFFFFF"/>
          </w:tcPr>
          <w:p>
            <w:pPr>
              <w:jc w:val="left"/>
              <w:rPr>
                <w:rFonts w:ascii="Default" w:hAnsi="Default" w:eastAsia="Default" w:cs="Default"/>
                <w:color w:val="000000"/>
                <w:sz w:val="20"/>
                <w:szCs w:val="20"/>
              </w:rPr>
            </w:pPr>
          </w:p>
        </w:tc>
        <w:tc>
          <w:tcPr>
            <w:tcW w:w="1176" w:type="dxa"/>
            <w:shd w:val="clear" w:color="auto" w:fill="FFFFFF"/>
          </w:tcPr>
          <w:p>
            <w:pPr>
              <w:jc w:val="left"/>
              <w:rPr>
                <w:rFonts w:ascii="Default" w:hAnsi="Default" w:eastAsia="Default" w:cs="Default"/>
                <w:color w:val="000000"/>
                <w:sz w:val="20"/>
                <w:szCs w:val="20"/>
              </w:rPr>
            </w:pPr>
          </w:p>
        </w:tc>
        <w:tc>
          <w:tcPr>
            <w:tcW w:w="2395" w:type="dxa"/>
            <w:shd w:val="clear" w:color="auto" w:fill="FFFFFF"/>
          </w:tcPr>
          <w:p>
            <w:pPr>
              <w:jc w:val="lef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30" w:hRule="atLeast"/>
        </w:trPr>
        <w:tc>
          <w:tcPr>
            <w:tcW w:w="8336" w:type="dxa"/>
            <w:gridSpan w:val="6"/>
            <w:shd w:val="clear" w:color="auto" w:fill="FFFFFF"/>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lang w:bidi="ar"/>
              </w:rPr>
              <w:t>一般公共预算基本支出情况表</w:t>
            </w:r>
          </w:p>
        </w:tc>
      </w:tr>
      <w:tr>
        <w:tblPrEx>
          <w:tblLayout w:type="fixed"/>
          <w:tblCellMar>
            <w:top w:w="15" w:type="dxa"/>
            <w:left w:w="15" w:type="dxa"/>
            <w:bottom w:w="15" w:type="dxa"/>
            <w:right w:w="15" w:type="dxa"/>
          </w:tblCellMar>
        </w:tblPrEx>
        <w:trPr>
          <w:trHeight w:val="345" w:hRule="atLeast"/>
        </w:trPr>
        <w:tc>
          <w:tcPr>
            <w:tcW w:w="983"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编制部门：</w:t>
            </w:r>
            <w:r>
              <w:rPr>
                <w:rFonts w:hint="eastAsia" w:ascii="Default" w:hAnsi="Default" w:eastAsia="Default" w:cs="Default"/>
                <w:color w:val="000000"/>
                <w:kern w:val="0"/>
                <w:sz w:val="20"/>
                <w:szCs w:val="20"/>
                <w:lang w:bidi="ar"/>
              </w:rPr>
              <w:t>乌鲁木齐市第十九幼儿园</w:t>
            </w:r>
          </w:p>
        </w:tc>
        <w:tc>
          <w:tcPr>
            <w:tcW w:w="981" w:type="dxa"/>
            <w:shd w:val="clear" w:color="auto" w:fill="FFFFFF"/>
          </w:tcPr>
          <w:p>
            <w:pPr>
              <w:jc w:val="left"/>
              <w:rPr>
                <w:rFonts w:ascii="Default" w:hAnsi="Default" w:eastAsia="Default" w:cs="Default"/>
                <w:color w:val="000000"/>
                <w:sz w:val="20"/>
                <w:szCs w:val="20"/>
              </w:rPr>
            </w:pPr>
          </w:p>
        </w:tc>
        <w:tc>
          <w:tcPr>
            <w:tcW w:w="1708" w:type="dxa"/>
            <w:shd w:val="clear" w:color="auto" w:fill="FFFFFF"/>
          </w:tcPr>
          <w:p>
            <w:pPr>
              <w:jc w:val="left"/>
              <w:rPr>
                <w:rFonts w:ascii="Default" w:hAnsi="Default" w:eastAsia="Default" w:cs="Default"/>
                <w:color w:val="000000"/>
                <w:sz w:val="20"/>
                <w:szCs w:val="20"/>
              </w:rPr>
            </w:pPr>
          </w:p>
        </w:tc>
        <w:tc>
          <w:tcPr>
            <w:tcW w:w="1093" w:type="dxa"/>
            <w:shd w:val="clear" w:color="auto" w:fill="FFFFFF"/>
          </w:tcPr>
          <w:p>
            <w:pPr>
              <w:jc w:val="left"/>
              <w:rPr>
                <w:rFonts w:ascii="Default" w:hAnsi="Default" w:eastAsia="Default" w:cs="Default"/>
                <w:color w:val="000000"/>
                <w:sz w:val="20"/>
                <w:szCs w:val="20"/>
              </w:rPr>
            </w:pPr>
          </w:p>
        </w:tc>
        <w:tc>
          <w:tcPr>
            <w:tcW w:w="1176" w:type="dxa"/>
            <w:shd w:val="clear" w:color="auto" w:fill="FFFFFF"/>
          </w:tcPr>
          <w:p>
            <w:pPr>
              <w:jc w:val="left"/>
              <w:rPr>
                <w:rFonts w:ascii="Default" w:hAnsi="Default" w:eastAsia="Default" w:cs="Default"/>
                <w:color w:val="000000"/>
                <w:sz w:val="20"/>
                <w:szCs w:val="20"/>
              </w:rPr>
            </w:pPr>
          </w:p>
        </w:tc>
        <w:tc>
          <w:tcPr>
            <w:tcW w:w="2395"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3672" w:type="dxa"/>
            <w:gridSpan w:val="3"/>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项目</w:t>
            </w:r>
          </w:p>
        </w:tc>
        <w:tc>
          <w:tcPr>
            <w:tcW w:w="4664"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一般公共预算基本支出</w:t>
            </w:r>
          </w:p>
        </w:tc>
      </w:tr>
      <w:tr>
        <w:tblPrEx>
          <w:tblLayout w:type="fixed"/>
          <w:tblCellMar>
            <w:top w:w="15" w:type="dxa"/>
            <w:left w:w="15" w:type="dxa"/>
            <w:bottom w:w="15" w:type="dxa"/>
            <w:right w:w="15" w:type="dxa"/>
          </w:tblCellMar>
        </w:tblPrEx>
        <w:trPr>
          <w:trHeight w:val="345" w:hRule="atLeast"/>
        </w:trPr>
        <w:tc>
          <w:tcPr>
            <w:tcW w:w="1964" w:type="dxa"/>
            <w:gridSpan w:val="2"/>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经济分类科目编码</w:t>
            </w:r>
          </w:p>
        </w:tc>
        <w:tc>
          <w:tcPr>
            <w:tcW w:w="1708"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经济分类科目名称</w:t>
            </w:r>
          </w:p>
        </w:tc>
        <w:tc>
          <w:tcPr>
            <w:tcW w:w="1093"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小计</w:t>
            </w:r>
          </w:p>
        </w:tc>
        <w:tc>
          <w:tcPr>
            <w:tcW w:w="1176"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人员经费</w:t>
            </w:r>
          </w:p>
        </w:tc>
        <w:tc>
          <w:tcPr>
            <w:tcW w:w="2395" w:type="dxa"/>
            <w:vMerge w:val="restart"/>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公用经费</w:t>
            </w:r>
          </w:p>
        </w:tc>
      </w:tr>
      <w:tr>
        <w:tblPrEx>
          <w:tblLayout w:type="fixed"/>
          <w:tblCellMar>
            <w:top w:w="15" w:type="dxa"/>
            <w:left w:w="15" w:type="dxa"/>
            <w:bottom w:w="15" w:type="dxa"/>
            <w:right w:w="15" w:type="dxa"/>
          </w:tblCellMar>
        </w:tblPrEx>
        <w:trPr>
          <w:trHeight w:val="345" w:hRule="atLeast"/>
        </w:trPr>
        <w:tc>
          <w:tcPr>
            <w:tcW w:w="983"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类</w:t>
            </w:r>
          </w:p>
        </w:tc>
        <w:tc>
          <w:tcPr>
            <w:tcW w:w="981"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款</w:t>
            </w:r>
          </w:p>
        </w:tc>
        <w:tc>
          <w:tcPr>
            <w:tcW w:w="1708" w:type="dxa"/>
            <w:vMerge w:val="continue"/>
            <w:tcBorders>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093" w:type="dxa"/>
            <w:vMerge w:val="continue"/>
            <w:tcBorders>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176" w:type="dxa"/>
            <w:vMerge w:val="continue"/>
            <w:tcBorders>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2395" w:type="dxa"/>
            <w:vMerge w:val="continue"/>
            <w:tcBorders>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983"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70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0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7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239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tbl>
      <w:tblPr>
        <w:tblStyle w:val="5"/>
        <w:tblW w:w="8336" w:type="dxa"/>
        <w:tblInd w:w="0" w:type="dxa"/>
        <w:tblLayout w:type="fixed"/>
        <w:tblCellMar>
          <w:top w:w="15" w:type="dxa"/>
          <w:left w:w="15" w:type="dxa"/>
          <w:bottom w:w="15" w:type="dxa"/>
          <w:right w:w="15" w:type="dxa"/>
        </w:tblCellMar>
      </w:tblPr>
      <w:tblGrid>
        <w:gridCol w:w="398"/>
        <w:gridCol w:w="293"/>
        <w:gridCol w:w="566"/>
        <w:gridCol w:w="707"/>
        <w:gridCol w:w="496"/>
        <w:gridCol w:w="530"/>
        <w:gridCol w:w="592"/>
        <w:gridCol w:w="559"/>
        <w:gridCol w:w="231"/>
        <w:gridCol w:w="565"/>
        <w:gridCol w:w="567"/>
        <w:gridCol w:w="565"/>
        <w:gridCol w:w="567"/>
        <w:gridCol w:w="567"/>
        <w:gridCol w:w="567"/>
        <w:gridCol w:w="566"/>
      </w:tblGrid>
      <w:tr>
        <w:tblPrEx>
          <w:tblLayout w:type="fixed"/>
          <w:tblCellMar>
            <w:top w:w="15" w:type="dxa"/>
            <w:left w:w="15" w:type="dxa"/>
            <w:bottom w:w="15" w:type="dxa"/>
            <w:right w:w="15" w:type="dxa"/>
          </w:tblCellMar>
        </w:tblPrEx>
        <w:trPr>
          <w:trHeight w:val="345" w:hRule="atLeast"/>
        </w:trPr>
        <w:tc>
          <w:tcPr>
            <w:tcW w:w="1257" w:type="dxa"/>
            <w:gridSpan w:val="3"/>
            <w:shd w:val="clear" w:color="auto" w:fill="FFFFFF"/>
          </w:tcPr>
          <w:p>
            <w:pPr>
              <w:widowControl/>
              <w:jc w:val="left"/>
              <w:textAlignment w:val="top"/>
              <w:rPr>
                <w:rFonts w:ascii="宋体" w:hAnsi="宋体" w:cs="宋体"/>
                <w:b/>
                <w:color w:val="000000"/>
                <w:sz w:val="26"/>
                <w:szCs w:val="26"/>
              </w:rPr>
            </w:pPr>
            <w:r>
              <w:rPr>
                <w:rFonts w:hint="eastAsia" w:ascii="宋体" w:hAnsi="宋体" w:cs="宋体"/>
                <w:b/>
                <w:color w:val="000000"/>
                <w:kern w:val="0"/>
                <w:sz w:val="26"/>
                <w:szCs w:val="26"/>
                <w:lang w:bidi="ar"/>
              </w:rPr>
              <w:t>表七：</w:t>
            </w:r>
          </w:p>
        </w:tc>
        <w:tc>
          <w:tcPr>
            <w:tcW w:w="707" w:type="dxa"/>
            <w:shd w:val="clear" w:color="auto" w:fill="FFFFFF"/>
          </w:tcPr>
          <w:p>
            <w:pPr>
              <w:jc w:val="left"/>
              <w:rPr>
                <w:rFonts w:ascii="宋体" w:hAnsi="宋体" w:cs="宋体"/>
                <w:color w:val="000000"/>
                <w:sz w:val="20"/>
                <w:szCs w:val="20"/>
              </w:rPr>
            </w:pPr>
          </w:p>
        </w:tc>
        <w:tc>
          <w:tcPr>
            <w:tcW w:w="496" w:type="dxa"/>
            <w:shd w:val="clear" w:color="auto" w:fill="FFFFFF"/>
          </w:tcPr>
          <w:p>
            <w:pPr>
              <w:jc w:val="left"/>
              <w:rPr>
                <w:rFonts w:ascii="宋体" w:hAnsi="宋体" w:cs="宋体"/>
                <w:color w:val="000000"/>
                <w:sz w:val="20"/>
                <w:szCs w:val="20"/>
              </w:rPr>
            </w:pPr>
          </w:p>
        </w:tc>
        <w:tc>
          <w:tcPr>
            <w:tcW w:w="530" w:type="dxa"/>
            <w:shd w:val="clear" w:color="auto" w:fill="FFFFFF"/>
          </w:tcPr>
          <w:p>
            <w:pPr>
              <w:jc w:val="left"/>
              <w:rPr>
                <w:rFonts w:ascii="宋体" w:hAnsi="宋体" w:cs="宋体"/>
                <w:color w:val="000000"/>
                <w:sz w:val="20"/>
                <w:szCs w:val="20"/>
              </w:rPr>
            </w:pPr>
          </w:p>
        </w:tc>
        <w:tc>
          <w:tcPr>
            <w:tcW w:w="592" w:type="dxa"/>
            <w:shd w:val="clear" w:color="auto" w:fill="FFFFFF"/>
          </w:tcPr>
          <w:p>
            <w:pPr>
              <w:jc w:val="left"/>
              <w:rPr>
                <w:rFonts w:ascii="宋体" w:hAnsi="宋体" w:cs="宋体"/>
                <w:color w:val="000000"/>
                <w:sz w:val="20"/>
                <w:szCs w:val="20"/>
              </w:rPr>
            </w:pPr>
          </w:p>
        </w:tc>
        <w:tc>
          <w:tcPr>
            <w:tcW w:w="559" w:type="dxa"/>
            <w:shd w:val="clear" w:color="auto" w:fill="FFFFFF"/>
          </w:tcPr>
          <w:p>
            <w:pPr>
              <w:jc w:val="left"/>
              <w:rPr>
                <w:rFonts w:ascii="宋体" w:hAnsi="宋体" w:cs="宋体"/>
                <w:color w:val="000000"/>
                <w:sz w:val="20"/>
                <w:szCs w:val="20"/>
              </w:rPr>
            </w:pPr>
          </w:p>
        </w:tc>
        <w:tc>
          <w:tcPr>
            <w:tcW w:w="231" w:type="dxa"/>
            <w:shd w:val="clear" w:color="auto" w:fill="FFFFFF"/>
          </w:tcPr>
          <w:p>
            <w:pPr>
              <w:jc w:val="left"/>
              <w:rPr>
                <w:rFonts w:ascii="宋体" w:hAnsi="宋体" w:cs="宋体"/>
                <w:color w:val="000000"/>
                <w:sz w:val="20"/>
                <w:szCs w:val="20"/>
              </w:rPr>
            </w:pPr>
          </w:p>
        </w:tc>
        <w:tc>
          <w:tcPr>
            <w:tcW w:w="565"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565"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566" w:type="dxa"/>
            <w:shd w:val="clear" w:color="auto" w:fill="FFFFFF"/>
          </w:tcPr>
          <w:p>
            <w:pPr>
              <w:jc w:val="lef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85" w:hRule="atLeast"/>
        </w:trPr>
        <w:tc>
          <w:tcPr>
            <w:tcW w:w="8336" w:type="dxa"/>
            <w:gridSpan w:val="16"/>
            <w:shd w:val="clear" w:color="auto" w:fill="FFFFFF"/>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项目支出情况表</w:t>
            </w:r>
          </w:p>
        </w:tc>
      </w:tr>
      <w:tr>
        <w:tblPrEx>
          <w:tblLayout w:type="fixed"/>
          <w:tblCellMar>
            <w:top w:w="15" w:type="dxa"/>
            <w:left w:w="15" w:type="dxa"/>
            <w:bottom w:w="15" w:type="dxa"/>
            <w:right w:w="15" w:type="dxa"/>
          </w:tblCellMar>
        </w:tblPrEx>
        <w:trPr>
          <w:trHeight w:val="345" w:hRule="atLeast"/>
        </w:trPr>
        <w:tc>
          <w:tcPr>
            <w:tcW w:w="1257" w:type="dxa"/>
            <w:gridSpan w:val="3"/>
            <w:shd w:val="clear" w:color="auto" w:fill="FFFFFF"/>
          </w:tcPr>
          <w:p>
            <w:pPr>
              <w:widowControl/>
              <w:jc w:val="distribute"/>
              <w:textAlignment w:val="top"/>
              <w:rPr>
                <w:rFonts w:ascii="宋体" w:hAnsi="宋体" w:cs="宋体"/>
                <w:color w:val="000000"/>
                <w:sz w:val="20"/>
                <w:szCs w:val="20"/>
              </w:rPr>
            </w:pPr>
            <w:r>
              <w:rPr>
                <w:rFonts w:hint="eastAsia" w:ascii="宋体" w:hAnsi="宋体" w:cs="宋体"/>
                <w:color w:val="000000"/>
                <w:kern w:val="0"/>
                <w:sz w:val="20"/>
                <w:szCs w:val="20"/>
                <w:lang w:bidi="ar"/>
              </w:rPr>
              <w:t>编制部门：乌鲁木齐市第十九幼儿园</w:t>
            </w:r>
          </w:p>
        </w:tc>
        <w:tc>
          <w:tcPr>
            <w:tcW w:w="707" w:type="dxa"/>
            <w:shd w:val="clear" w:color="auto" w:fill="FFFFFF"/>
          </w:tcPr>
          <w:p>
            <w:pPr>
              <w:jc w:val="distribute"/>
              <w:rPr>
                <w:rFonts w:ascii="宋体" w:hAnsi="宋体" w:cs="宋体"/>
                <w:color w:val="000000"/>
                <w:sz w:val="20"/>
                <w:szCs w:val="20"/>
              </w:rPr>
            </w:pPr>
          </w:p>
        </w:tc>
        <w:tc>
          <w:tcPr>
            <w:tcW w:w="496" w:type="dxa"/>
            <w:shd w:val="clear" w:color="auto" w:fill="FFFFFF"/>
          </w:tcPr>
          <w:p>
            <w:pPr>
              <w:jc w:val="distribute"/>
              <w:rPr>
                <w:rFonts w:ascii="宋体" w:hAnsi="宋体" w:cs="宋体"/>
                <w:color w:val="000000"/>
                <w:sz w:val="20"/>
                <w:szCs w:val="20"/>
              </w:rPr>
            </w:pPr>
          </w:p>
        </w:tc>
        <w:tc>
          <w:tcPr>
            <w:tcW w:w="530" w:type="dxa"/>
            <w:shd w:val="clear" w:color="auto" w:fill="FFFFFF"/>
          </w:tcPr>
          <w:p>
            <w:pPr>
              <w:jc w:val="distribute"/>
              <w:rPr>
                <w:rFonts w:ascii="宋体" w:hAnsi="宋体" w:cs="宋体"/>
                <w:color w:val="000000"/>
                <w:sz w:val="20"/>
                <w:szCs w:val="20"/>
              </w:rPr>
            </w:pPr>
          </w:p>
        </w:tc>
        <w:tc>
          <w:tcPr>
            <w:tcW w:w="592" w:type="dxa"/>
            <w:shd w:val="clear" w:color="auto" w:fill="FFFFFF"/>
          </w:tcPr>
          <w:p>
            <w:pPr>
              <w:jc w:val="distribute"/>
              <w:rPr>
                <w:rFonts w:ascii="宋体" w:hAnsi="宋体" w:cs="宋体"/>
                <w:color w:val="000000"/>
                <w:sz w:val="20"/>
                <w:szCs w:val="20"/>
              </w:rPr>
            </w:pPr>
          </w:p>
        </w:tc>
        <w:tc>
          <w:tcPr>
            <w:tcW w:w="559" w:type="dxa"/>
            <w:shd w:val="clear" w:color="auto" w:fill="FFFFFF"/>
          </w:tcPr>
          <w:p>
            <w:pPr>
              <w:jc w:val="distribute"/>
              <w:rPr>
                <w:rFonts w:ascii="宋体" w:hAnsi="宋体" w:cs="宋体"/>
                <w:color w:val="000000"/>
                <w:sz w:val="20"/>
                <w:szCs w:val="20"/>
              </w:rPr>
            </w:pPr>
          </w:p>
        </w:tc>
        <w:tc>
          <w:tcPr>
            <w:tcW w:w="231" w:type="dxa"/>
            <w:shd w:val="clear" w:color="auto" w:fill="FFFFFF"/>
          </w:tcPr>
          <w:p>
            <w:pPr>
              <w:jc w:val="left"/>
              <w:rPr>
                <w:rFonts w:ascii="宋体" w:hAnsi="宋体" w:cs="宋体"/>
                <w:color w:val="000000"/>
                <w:sz w:val="20"/>
                <w:szCs w:val="20"/>
              </w:rPr>
            </w:pPr>
          </w:p>
        </w:tc>
        <w:tc>
          <w:tcPr>
            <w:tcW w:w="565"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565" w:type="dxa"/>
            <w:shd w:val="clear" w:color="auto" w:fill="FFFFFF"/>
          </w:tcPr>
          <w:p>
            <w:pPr>
              <w:jc w:val="left"/>
              <w:rPr>
                <w:rFonts w:ascii="宋体" w:hAnsi="宋体" w:cs="宋体"/>
                <w:color w:val="000000"/>
                <w:sz w:val="20"/>
                <w:szCs w:val="20"/>
              </w:rPr>
            </w:pPr>
          </w:p>
        </w:tc>
        <w:tc>
          <w:tcPr>
            <w:tcW w:w="567" w:type="dxa"/>
            <w:shd w:val="clear" w:color="auto" w:fill="FFFFFF"/>
          </w:tcPr>
          <w:p>
            <w:pPr>
              <w:jc w:val="left"/>
              <w:rPr>
                <w:rFonts w:ascii="宋体" w:hAnsi="宋体" w:cs="宋体"/>
                <w:color w:val="000000"/>
                <w:sz w:val="20"/>
                <w:szCs w:val="20"/>
              </w:rPr>
            </w:pPr>
          </w:p>
        </w:tc>
        <w:tc>
          <w:tcPr>
            <w:tcW w:w="1700" w:type="dxa"/>
            <w:gridSpan w:val="3"/>
            <w:shd w:val="clear" w:color="auto" w:fill="FFFF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70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w:t>
            </w:r>
          </w:p>
        </w:tc>
        <w:tc>
          <w:tcPr>
            <w:tcW w:w="49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53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项目支出支出</w:t>
            </w:r>
          </w:p>
        </w:tc>
        <w:tc>
          <w:tcPr>
            <w:tcW w:w="59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工资福利支出</w:t>
            </w:r>
          </w:p>
        </w:tc>
        <w:tc>
          <w:tcPr>
            <w:tcW w:w="559"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23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56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56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资本性支出（基本建设）</w:t>
            </w:r>
          </w:p>
        </w:tc>
        <w:tc>
          <w:tcPr>
            <w:tcW w:w="56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资本性支出</w:t>
            </w:r>
          </w:p>
        </w:tc>
        <w:tc>
          <w:tcPr>
            <w:tcW w:w="56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对企业补助（基本建设）</w:t>
            </w:r>
          </w:p>
        </w:tc>
        <w:tc>
          <w:tcPr>
            <w:tcW w:w="56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对企业补助</w:t>
            </w:r>
          </w:p>
        </w:tc>
        <w:tc>
          <w:tcPr>
            <w:tcW w:w="56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56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其他支出</w:t>
            </w:r>
          </w:p>
        </w:tc>
      </w:tr>
      <w:tr>
        <w:tblPrEx>
          <w:tblLayout w:type="fixed"/>
          <w:tblCellMar>
            <w:top w:w="15" w:type="dxa"/>
            <w:left w:w="15" w:type="dxa"/>
            <w:bottom w:w="15" w:type="dxa"/>
            <w:right w:w="15" w:type="dxa"/>
          </w:tblCellMar>
        </w:tblPrEx>
        <w:trPr>
          <w:trHeight w:val="945" w:hRule="atLeast"/>
        </w:trPr>
        <w:tc>
          <w:tcPr>
            <w:tcW w:w="398"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293"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566"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70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9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9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5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3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6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总计:</w:t>
            </w:r>
          </w:p>
        </w:tc>
        <w:tc>
          <w:tcPr>
            <w:tcW w:w="293"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0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49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3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59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5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3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93"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0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乌鲁木齐市第十九幼儿园</w:t>
            </w:r>
          </w:p>
        </w:tc>
        <w:tc>
          <w:tcPr>
            <w:tcW w:w="49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3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59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5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3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98"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205</w:t>
            </w:r>
          </w:p>
        </w:tc>
        <w:tc>
          <w:tcPr>
            <w:tcW w:w="293"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02</w:t>
            </w:r>
          </w:p>
        </w:tc>
        <w:tc>
          <w:tcPr>
            <w:tcW w:w="566"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01</w:t>
            </w:r>
          </w:p>
        </w:tc>
        <w:tc>
          <w:tcPr>
            <w:tcW w:w="707"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学前教育</w:t>
            </w:r>
          </w:p>
        </w:tc>
        <w:tc>
          <w:tcPr>
            <w:tcW w:w="496" w:type="dxa"/>
            <w:tcBorders>
              <w:bottom w:val="single" w:color="000000" w:sz="4" w:space="0"/>
              <w:right w:val="single" w:color="000000" w:sz="4" w:space="0"/>
            </w:tcBorders>
            <w:shd w:val="clear" w:color="auto" w:fill="FFFFFF"/>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农村学前教育经费</w:t>
            </w:r>
          </w:p>
        </w:tc>
        <w:tc>
          <w:tcPr>
            <w:tcW w:w="530"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592"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59" w:type="dxa"/>
            <w:tcBorders>
              <w:bottom w:val="single" w:color="000000" w:sz="4" w:space="0"/>
              <w:right w:val="single" w:color="000000" w:sz="4" w:space="0"/>
            </w:tcBorders>
            <w:shd w:val="clear" w:color="auto" w:fill="FFFFFF"/>
          </w:tcPr>
          <w:p>
            <w:pPr>
              <w:widowControl/>
              <w:jc w:val="right"/>
              <w:textAlignment w:val="top"/>
              <w:rPr>
                <w:rFonts w:ascii="宋体" w:hAnsi="宋体" w:cs="宋体"/>
                <w:color w:val="000000"/>
                <w:sz w:val="20"/>
                <w:szCs w:val="20"/>
              </w:rPr>
            </w:pPr>
            <w:r>
              <w:rPr>
                <w:rFonts w:hint="eastAsia" w:ascii="宋体" w:hAnsi="宋体" w:cs="宋体"/>
                <w:color w:val="000000"/>
                <w:kern w:val="0"/>
                <w:sz w:val="20"/>
                <w:szCs w:val="20"/>
                <w:lang w:bidi="ar"/>
              </w:rPr>
              <w:t>38.06</w:t>
            </w:r>
          </w:p>
        </w:tc>
        <w:tc>
          <w:tcPr>
            <w:tcW w:w="231"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98" w:type="dxa"/>
            <w:tcBorders>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93"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70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49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30"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92"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59"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231"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5"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7"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c>
          <w:tcPr>
            <w:tcW w:w="566" w:type="dxa"/>
            <w:tcBorders>
              <w:bottom w:val="single" w:color="000000" w:sz="4" w:space="0"/>
              <w:right w:val="single" w:color="000000" w:sz="4" w:space="0"/>
            </w:tcBorders>
            <w:shd w:val="clear" w:color="auto" w:fill="FFFFFF"/>
          </w:tcPr>
          <w:p>
            <w:pPr>
              <w:jc w:val="left"/>
              <w:rPr>
                <w:rFonts w:ascii="宋体" w:hAnsi="宋体" w:cs="宋体"/>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5"/>
        <w:tblW w:w="8336" w:type="dxa"/>
        <w:tblInd w:w="0" w:type="dxa"/>
        <w:tblLayout w:type="fixed"/>
        <w:tblCellMar>
          <w:top w:w="15" w:type="dxa"/>
          <w:left w:w="15" w:type="dxa"/>
          <w:bottom w:w="15" w:type="dxa"/>
          <w:right w:w="15" w:type="dxa"/>
        </w:tblCellMar>
      </w:tblPr>
      <w:tblGrid>
        <w:gridCol w:w="1643"/>
        <w:gridCol w:w="1448"/>
        <w:gridCol w:w="921"/>
        <w:gridCol w:w="1307"/>
        <w:gridCol w:w="1379"/>
        <w:gridCol w:w="1638"/>
      </w:tblGrid>
      <w:tr>
        <w:tblPrEx>
          <w:tblLayout w:type="fixed"/>
          <w:tblCellMar>
            <w:top w:w="15" w:type="dxa"/>
            <w:left w:w="15" w:type="dxa"/>
            <w:bottom w:w="15" w:type="dxa"/>
            <w:right w:w="15" w:type="dxa"/>
          </w:tblCellMar>
        </w:tblPrEx>
        <w:trPr>
          <w:trHeight w:val="345" w:hRule="atLeast"/>
        </w:trPr>
        <w:tc>
          <w:tcPr>
            <w:tcW w:w="8336" w:type="dxa"/>
            <w:gridSpan w:val="6"/>
            <w:shd w:val="clear" w:color="auto" w:fill="FFFFFF"/>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lang w:bidi="ar"/>
              </w:rPr>
              <w:t>表八：</w:t>
            </w:r>
          </w:p>
        </w:tc>
      </w:tr>
      <w:tr>
        <w:tblPrEx>
          <w:tblLayout w:type="fixed"/>
          <w:tblCellMar>
            <w:top w:w="15" w:type="dxa"/>
            <w:left w:w="15" w:type="dxa"/>
            <w:bottom w:w="15" w:type="dxa"/>
            <w:right w:w="15" w:type="dxa"/>
          </w:tblCellMar>
        </w:tblPrEx>
        <w:trPr>
          <w:trHeight w:val="780" w:hRule="atLeast"/>
        </w:trPr>
        <w:tc>
          <w:tcPr>
            <w:tcW w:w="8336" w:type="dxa"/>
            <w:gridSpan w:val="6"/>
            <w:shd w:val="clear" w:color="auto" w:fill="FFFFFF"/>
            <w:vAlign w:val="center"/>
          </w:tcPr>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lang w:bidi="ar"/>
              </w:rPr>
              <w:t>一般公共预算“三公”经费支出情况表</w:t>
            </w:r>
          </w:p>
        </w:tc>
      </w:tr>
      <w:tr>
        <w:tblPrEx>
          <w:tblLayout w:type="fixed"/>
          <w:tblCellMar>
            <w:top w:w="15" w:type="dxa"/>
            <w:left w:w="15" w:type="dxa"/>
            <w:bottom w:w="15" w:type="dxa"/>
            <w:right w:w="15" w:type="dxa"/>
          </w:tblCellMar>
        </w:tblPrEx>
        <w:trPr>
          <w:trHeight w:val="345" w:hRule="atLeast"/>
        </w:trPr>
        <w:tc>
          <w:tcPr>
            <w:tcW w:w="1643"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编制单位：</w:t>
            </w:r>
            <w:r>
              <w:rPr>
                <w:rFonts w:hint="eastAsia" w:ascii="Default" w:hAnsi="Default" w:eastAsia="Default" w:cs="Default"/>
                <w:color w:val="000000"/>
                <w:kern w:val="0"/>
                <w:sz w:val="20"/>
                <w:szCs w:val="20"/>
                <w:lang w:bidi="ar"/>
              </w:rPr>
              <w:t>乌鲁木齐市第十九幼儿园</w:t>
            </w:r>
          </w:p>
        </w:tc>
        <w:tc>
          <w:tcPr>
            <w:tcW w:w="1448" w:type="dxa"/>
            <w:shd w:val="clear" w:color="auto" w:fill="FFFFFF"/>
          </w:tcPr>
          <w:p>
            <w:pPr>
              <w:jc w:val="left"/>
              <w:rPr>
                <w:rFonts w:ascii="Default" w:hAnsi="Default" w:eastAsia="Default" w:cs="Default"/>
                <w:color w:val="000000"/>
                <w:sz w:val="20"/>
                <w:szCs w:val="20"/>
              </w:rPr>
            </w:pPr>
          </w:p>
        </w:tc>
        <w:tc>
          <w:tcPr>
            <w:tcW w:w="921" w:type="dxa"/>
            <w:shd w:val="clear" w:color="auto" w:fill="FFFFFF"/>
          </w:tcPr>
          <w:p>
            <w:pPr>
              <w:jc w:val="left"/>
              <w:rPr>
                <w:rFonts w:ascii="Default" w:hAnsi="Default" w:eastAsia="Default" w:cs="Default"/>
                <w:color w:val="000000"/>
                <w:sz w:val="20"/>
                <w:szCs w:val="20"/>
              </w:rPr>
            </w:pPr>
          </w:p>
        </w:tc>
        <w:tc>
          <w:tcPr>
            <w:tcW w:w="1307" w:type="dxa"/>
            <w:shd w:val="clear" w:color="auto" w:fill="FFFFFF"/>
          </w:tcPr>
          <w:p>
            <w:pPr>
              <w:jc w:val="left"/>
              <w:rPr>
                <w:rFonts w:ascii="Default" w:hAnsi="Default" w:eastAsia="Default" w:cs="Default"/>
                <w:color w:val="000000"/>
                <w:sz w:val="20"/>
                <w:szCs w:val="20"/>
              </w:rPr>
            </w:pPr>
          </w:p>
        </w:tc>
        <w:tc>
          <w:tcPr>
            <w:tcW w:w="1379" w:type="dxa"/>
            <w:shd w:val="clear" w:color="auto" w:fill="FFFFFF"/>
          </w:tcPr>
          <w:p>
            <w:pPr>
              <w:jc w:val="right"/>
              <w:rPr>
                <w:rFonts w:ascii="Default" w:hAnsi="Default" w:eastAsia="Default" w:cs="Default"/>
                <w:color w:val="000000"/>
                <w:sz w:val="20"/>
                <w:szCs w:val="20"/>
              </w:rPr>
            </w:pPr>
          </w:p>
        </w:tc>
        <w:tc>
          <w:tcPr>
            <w:tcW w:w="1638"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1643"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合   计</w:t>
            </w:r>
          </w:p>
        </w:tc>
        <w:tc>
          <w:tcPr>
            <w:tcW w:w="1448"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因公出国（境）费用</w:t>
            </w:r>
          </w:p>
        </w:tc>
        <w:tc>
          <w:tcPr>
            <w:tcW w:w="3607"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公务用车购置及运行费</w:t>
            </w:r>
          </w:p>
        </w:tc>
        <w:tc>
          <w:tcPr>
            <w:tcW w:w="1638"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公务接待费</w:t>
            </w:r>
          </w:p>
        </w:tc>
      </w:tr>
      <w:tr>
        <w:tblPrEx>
          <w:tblLayout w:type="fixed"/>
          <w:tblCellMar>
            <w:top w:w="15" w:type="dxa"/>
            <w:left w:w="15" w:type="dxa"/>
            <w:bottom w:w="15" w:type="dxa"/>
            <w:right w:w="15" w:type="dxa"/>
          </w:tblCellMar>
        </w:tblPrEx>
        <w:trPr>
          <w:trHeight w:val="900" w:hRule="atLeast"/>
        </w:trPr>
        <w:tc>
          <w:tcPr>
            <w:tcW w:w="1643"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448"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921"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小计</w:t>
            </w:r>
          </w:p>
        </w:tc>
        <w:tc>
          <w:tcPr>
            <w:tcW w:w="1307"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公务用车购置费</w:t>
            </w:r>
          </w:p>
        </w:tc>
        <w:tc>
          <w:tcPr>
            <w:tcW w:w="1379"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公务用车运行费</w:t>
            </w:r>
          </w:p>
        </w:tc>
        <w:tc>
          <w:tcPr>
            <w:tcW w:w="1638"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164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44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2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0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7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63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tbl>
      <w:tblPr>
        <w:tblStyle w:val="5"/>
        <w:tblW w:w="8336" w:type="dxa"/>
        <w:tblInd w:w="0" w:type="dxa"/>
        <w:tblLayout w:type="fixed"/>
        <w:tblCellMar>
          <w:top w:w="15" w:type="dxa"/>
          <w:left w:w="15" w:type="dxa"/>
          <w:bottom w:w="15" w:type="dxa"/>
          <w:right w:w="15" w:type="dxa"/>
        </w:tblCellMar>
      </w:tblPr>
      <w:tblGrid>
        <w:gridCol w:w="847"/>
        <w:gridCol w:w="920"/>
        <w:gridCol w:w="920"/>
        <w:gridCol w:w="2012"/>
        <w:gridCol w:w="1106"/>
        <w:gridCol w:w="1338"/>
        <w:gridCol w:w="1193"/>
      </w:tblGrid>
      <w:tr>
        <w:tblPrEx>
          <w:tblLayout w:type="fixed"/>
          <w:tblCellMar>
            <w:top w:w="15" w:type="dxa"/>
            <w:left w:w="15" w:type="dxa"/>
            <w:bottom w:w="15" w:type="dxa"/>
            <w:right w:w="15" w:type="dxa"/>
          </w:tblCellMar>
        </w:tblPrEx>
        <w:trPr>
          <w:trHeight w:val="345" w:hRule="atLeast"/>
        </w:trPr>
        <w:tc>
          <w:tcPr>
            <w:tcW w:w="8336" w:type="dxa"/>
            <w:gridSpan w:val="7"/>
            <w:shd w:val="clear" w:color="auto" w:fill="FFFFFF"/>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lang w:bidi="ar"/>
              </w:rPr>
              <w:t>表九：</w:t>
            </w:r>
          </w:p>
        </w:tc>
      </w:tr>
      <w:tr>
        <w:tblPrEx>
          <w:tblLayout w:type="fixed"/>
          <w:tblCellMar>
            <w:top w:w="15" w:type="dxa"/>
            <w:left w:w="15" w:type="dxa"/>
            <w:bottom w:w="15" w:type="dxa"/>
            <w:right w:w="15" w:type="dxa"/>
          </w:tblCellMar>
        </w:tblPrEx>
        <w:trPr>
          <w:trHeight w:val="630" w:hRule="atLeast"/>
        </w:trPr>
        <w:tc>
          <w:tcPr>
            <w:tcW w:w="8336" w:type="dxa"/>
            <w:gridSpan w:val="7"/>
            <w:shd w:val="clear" w:color="auto" w:fill="FFFFFF"/>
            <w:vAlign w:val="center"/>
          </w:tcPr>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lang w:bidi="ar"/>
              </w:rPr>
              <w:t>政府性基金预算支出情况表</w:t>
            </w:r>
          </w:p>
        </w:tc>
      </w:tr>
      <w:tr>
        <w:tblPrEx>
          <w:tblLayout w:type="fixed"/>
          <w:tblCellMar>
            <w:top w:w="15" w:type="dxa"/>
            <w:left w:w="15" w:type="dxa"/>
            <w:bottom w:w="15" w:type="dxa"/>
            <w:right w:w="15" w:type="dxa"/>
          </w:tblCellMar>
        </w:tblPrEx>
        <w:trPr>
          <w:trHeight w:val="345" w:hRule="atLeast"/>
        </w:trPr>
        <w:tc>
          <w:tcPr>
            <w:tcW w:w="2687" w:type="dxa"/>
            <w:gridSpan w:val="3"/>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编制单位：</w:t>
            </w:r>
            <w:r>
              <w:rPr>
                <w:rFonts w:hint="eastAsia" w:ascii="Default" w:hAnsi="Default" w:eastAsia="Default" w:cs="Default"/>
                <w:color w:val="000000"/>
                <w:kern w:val="0"/>
                <w:sz w:val="20"/>
                <w:szCs w:val="20"/>
                <w:lang w:bidi="ar"/>
              </w:rPr>
              <w:t>乌鲁木齐市第十九幼儿园</w:t>
            </w:r>
          </w:p>
        </w:tc>
        <w:tc>
          <w:tcPr>
            <w:tcW w:w="2012" w:type="dxa"/>
            <w:shd w:val="clear" w:color="auto" w:fill="FFFFFF"/>
          </w:tcPr>
          <w:p>
            <w:pPr>
              <w:jc w:val="left"/>
              <w:rPr>
                <w:rFonts w:ascii="Default" w:hAnsi="Default" w:eastAsia="Default" w:cs="Default"/>
                <w:color w:val="000000"/>
                <w:sz w:val="20"/>
                <w:szCs w:val="20"/>
              </w:rPr>
            </w:pPr>
          </w:p>
        </w:tc>
        <w:tc>
          <w:tcPr>
            <w:tcW w:w="1106" w:type="dxa"/>
            <w:shd w:val="clear" w:color="auto" w:fill="FFFFFF"/>
          </w:tcPr>
          <w:p>
            <w:pPr>
              <w:jc w:val="left"/>
              <w:rPr>
                <w:rFonts w:ascii="Default" w:hAnsi="Default" w:eastAsia="Default" w:cs="Default"/>
                <w:color w:val="000000"/>
                <w:sz w:val="20"/>
                <w:szCs w:val="20"/>
              </w:rPr>
            </w:pPr>
          </w:p>
        </w:tc>
        <w:tc>
          <w:tcPr>
            <w:tcW w:w="1338" w:type="dxa"/>
            <w:shd w:val="clear" w:color="auto" w:fill="FFFFFF"/>
          </w:tcPr>
          <w:p>
            <w:pPr>
              <w:jc w:val="left"/>
              <w:rPr>
                <w:rFonts w:ascii="Default" w:hAnsi="Default" w:eastAsia="Default" w:cs="Default"/>
                <w:color w:val="000000"/>
                <w:sz w:val="20"/>
                <w:szCs w:val="20"/>
              </w:rPr>
            </w:pPr>
          </w:p>
        </w:tc>
        <w:tc>
          <w:tcPr>
            <w:tcW w:w="1193"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lang w:bidi="ar"/>
              </w:rPr>
              <w:t>单位：万元</w:t>
            </w:r>
          </w:p>
        </w:tc>
      </w:tr>
      <w:tr>
        <w:tblPrEx>
          <w:tblLayout w:type="fixed"/>
          <w:tblCellMar>
            <w:top w:w="15" w:type="dxa"/>
            <w:left w:w="15" w:type="dxa"/>
            <w:bottom w:w="15" w:type="dxa"/>
            <w:right w:w="15" w:type="dxa"/>
          </w:tblCellMar>
        </w:tblPrEx>
        <w:trPr>
          <w:trHeight w:val="435" w:hRule="atLeast"/>
        </w:trPr>
        <w:tc>
          <w:tcPr>
            <w:tcW w:w="4699"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项      目</w:t>
            </w:r>
          </w:p>
        </w:tc>
        <w:tc>
          <w:tcPr>
            <w:tcW w:w="3637"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政府性基金预算支出</w:t>
            </w:r>
          </w:p>
        </w:tc>
      </w:tr>
      <w:tr>
        <w:tblPrEx>
          <w:tblLayout w:type="fixed"/>
          <w:tblCellMar>
            <w:top w:w="15" w:type="dxa"/>
            <w:left w:w="15" w:type="dxa"/>
            <w:bottom w:w="15" w:type="dxa"/>
            <w:right w:w="15" w:type="dxa"/>
          </w:tblCellMar>
        </w:tblPrEx>
        <w:trPr>
          <w:trHeight w:val="624" w:hRule="atLeast"/>
        </w:trPr>
        <w:tc>
          <w:tcPr>
            <w:tcW w:w="2687" w:type="dxa"/>
            <w:gridSpan w:val="3"/>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功能分类科目编码</w:t>
            </w:r>
          </w:p>
        </w:tc>
        <w:tc>
          <w:tcPr>
            <w:tcW w:w="2012"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功能分类科目名称</w:t>
            </w:r>
          </w:p>
        </w:tc>
        <w:tc>
          <w:tcPr>
            <w:tcW w:w="1106"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小  计</w:t>
            </w:r>
          </w:p>
        </w:tc>
        <w:tc>
          <w:tcPr>
            <w:tcW w:w="1338"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基本支出</w:t>
            </w:r>
          </w:p>
        </w:tc>
        <w:tc>
          <w:tcPr>
            <w:tcW w:w="1193"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项目支出</w:t>
            </w:r>
          </w:p>
        </w:tc>
      </w:tr>
      <w:tr>
        <w:tblPrEx>
          <w:tblLayout w:type="fixed"/>
          <w:tblCellMar>
            <w:top w:w="15" w:type="dxa"/>
            <w:left w:w="15" w:type="dxa"/>
            <w:bottom w:w="15" w:type="dxa"/>
            <w:right w:w="15" w:type="dxa"/>
          </w:tblCellMar>
        </w:tblPrEx>
        <w:trPr>
          <w:trHeight w:val="624" w:hRule="atLeast"/>
        </w:trPr>
        <w:tc>
          <w:tcPr>
            <w:tcW w:w="2687" w:type="dxa"/>
            <w:gridSpan w:val="3"/>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2012"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10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338"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193"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480" w:hRule="atLeast"/>
        </w:trPr>
        <w:tc>
          <w:tcPr>
            <w:tcW w:w="847"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类</w:t>
            </w:r>
          </w:p>
        </w:tc>
        <w:tc>
          <w:tcPr>
            <w:tcW w:w="920"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款</w:t>
            </w:r>
          </w:p>
        </w:tc>
        <w:tc>
          <w:tcPr>
            <w:tcW w:w="920" w:type="dxa"/>
            <w:tcBorders>
              <w:bottom w:val="single" w:color="000000" w:sz="4" w:space="0"/>
              <w:right w:val="single" w:color="000000" w:sz="4" w:space="0"/>
            </w:tcBorders>
            <w:shd w:val="clear" w:color="auto" w:fill="99CC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lang w:bidi="ar"/>
              </w:rPr>
              <w:t>项</w:t>
            </w:r>
          </w:p>
        </w:tc>
        <w:tc>
          <w:tcPr>
            <w:tcW w:w="2012"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106"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338"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c>
          <w:tcPr>
            <w:tcW w:w="1193"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47"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2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2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01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10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33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shd w:val="clear" w:color="auto" w:fill="FFFFFF"/>
        <w:spacing w:before="100" w:beforeAutospacing="1" w:after="100" w:afterAutospacing="1" w:line="315" w:lineRule="atLeast"/>
        <w:jc w:val="left"/>
        <w:rPr>
          <w:rFonts w:ascii="宋体" w:hAnsi="宋体" w:cs="宋体"/>
          <w:color w:val="000000"/>
          <w:kern w:val="0"/>
          <w:szCs w:val="21"/>
        </w:rPr>
      </w:pPr>
      <w:r>
        <w:rPr>
          <w:rFonts w:hint="eastAsia" w:ascii="宋体" w:hAnsi="宋体" w:cs="宋体"/>
          <w:color w:val="000000"/>
          <w:kern w:val="0"/>
          <w:szCs w:val="21"/>
        </w:rPr>
        <w:t>备注：本表为空表。本单位无此项经费支出。</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p>
    <w:p>
      <w:pPr>
        <w:widowControl/>
        <w:shd w:val="clear" w:color="auto" w:fill="FFFFFF"/>
        <w:spacing w:before="100" w:beforeAutospacing="1" w:after="100" w:afterAutospacing="1" w:line="315" w:lineRule="atLeast"/>
        <w:ind w:firstLine="480"/>
        <w:jc w:val="center"/>
        <w:rPr>
          <w:rFonts w:ascii="宋体" w:hAnsi="宋体" w:cs="宋体"/>
          <w:color w:val="000000"/>
          <w:kern w:val="0"/>
          <w:sz w:val="32"/>
          <w:szCs w:val="32"/>
        </w:rPr>
      </w:pPr>
      <w:r>
        <w:rPr>
          <w:rFonts w:hint="eastAsia" w:ascii="宋体" w:hAnsi="宋体" w:cs="宋体"/>
          <w:color w:val="000000"/>
          <w:kern w:val="0"/>
          <w:sz w:val="32"/>
          <w:szCs w:val="32"/>
        </w:rPr>
        <w:t>第三部分 2019年部门预算情况说明</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一、关于乌鲁木齐市第十九幼儿园2019年收支预算情况的总体说明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按照全口径预算的原则，乌鲁木齐市第十九幼儿园2019年所有收入和支出均纳入部门预算管理。收支总预算38.06万元。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收入预算包括：一般公共预算38.06元。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支出预算包括：教育支出</w:t>
      </w:r>
      <w:r>
        <w:rPr>
          <w:rFonts w:hint="eastAsia" w:ascii="宋体" w:hAnsi="宋体" w:cs="宋体"/>
          <w:bCs/>
          <w:color w:val="000000"/>
          <w:kern w:val="0"/>
          <w:szCs w:val="21"/>
        </w:rPr>
        <w:t>38.06</w:t>
      </w:r>
      <w:r>
        <w:rPr>
          <w:rFonts w:hint="eastAsia" w:ascii="宋体" w:hAnsi="宋体" w:cs="宋体"/>
          <w:color w:val="000000"/>
          <w:kern w:val="0"/>
          <w:szCs w:val="21"/>
        </w:rPr>
        <w:t>万元、社会保障和就业支出0万元。</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二、关于乌鲁木齐市第十九幼儿园2019年收入预算情况说明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乌鲁木齐市第十九幼儿园收入预算38.06万元，其中：</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一般公共预算38.06万元，占100%，比上年减少0万元，主要原因是上年无预算，属于新增单位。政府性基金预算未安排。</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三、关于乌鲁木齐市第十九幼儿园2019年支出预算情况说明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乌鲁木齐市第十九幼儿园2019年支出预算38.06万元，其中：</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基本支出38.06万元，占100%，比上年减</w:t>
      </w:r>
      <w:r>
        <w:rPr>
          <w:rFonts w:hint="eastAsia" w:ascii="宋体" w:hAnsi="宋体" w:cs="宋体"/>
          <w:kern w:val="0"/>
          <w:szCs w:val="21"/>
        </w:rPr>
        <w:t>少0</w:t>
      </w:r>
      <w:r>
        <w:rPr>
          <w:rFonts w:hint="eastAsia" w:ascii="宋体" w:hAnsi="宋体" w:cs="宋体"/>
          <w:color w:val="000000"/>
          <w:kern w:val="0"/>
          <w:szCs w:val="21"/>
        </w:rPr>
        <w:t>万元，主要原因是上年五预算，属于新增单位。</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四、关于乌鲁木齐市第十九幼儿园2019年财政拨款收支预算情况的总体说明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财政拨款收支总预算38.06万元。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收入全部为一般公共预算拨款，无政府性基金预算拨款。</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五、关于乌鲁木齐市第十九幼儿园2019年一般公共预算基本支出情况说明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（一）一般公用共预算当年拨款规模变化情况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乌鲁木齐市第十九幼儿园2019年一般公共预算拨款支出38.06万元，比上年执行数减少</w:t>
      </w:r>
      <w:r>
        <w:rPr>
          <w:rFonts w:hint="eastAsia" w:ascii="宋体" w:hAnsi="宋体" w:cs="宋体"/>
          <w:kern w:val="0"/>
          <w:szCs w:val="21"/>
        </w:rPr>
        <w:t>0</w:t>
      </w:r>
      <w:r>
        <w:rPr>
          <w:rFonts w:hint="eastAsia" w:ascii="宋体" w:hAnsi="宋体" w:cs="宋体"/>
          <w:color w:val="000000"/>
          <w:kern w:val="0"/>
          <w:szCs w:val="21"/>
        </w:rPr>
        <w:t>万元，主要原因是上年无预算，属于新增单位。政府性基金预算未安排。</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（二）一般公共预算当年拨款结构情况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1、教育支出（类）38.06万元，占100%</w:t>
      </w:r>
    </w:p>
    <w:p>
      <w:pPr>
        <w:ind w:firstLine="525" w:firstLineChars="250"/>
        <w:jc w:val="left"/>
        <w:rPr>
          <w:rFonts w:ascii="宋体" w:hAnsi="宋体" w:cs="Arial"/>
          <w:kern w:val="0"/>
          <w:szCs w:val="21"/>
        </w:rPr>
      </w:pPr>
      <w:r>
        <w:rPr>
          <w:rFonts w:hint="eastAsia" w:ascii="宋体" w:hAnsi="宋体" w:cs="Arial"/>
          <w:kern w:val="0"/>
          <w:szCs w:val="21"/>
        </w:rPr>
        <w:t>（三）一般公共预算当年拨款具体使用情况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Arial"/>
          <w:kern w:val="0"/>
          <w:szCs w:val="21"/>
        </w:rPr>
        <w:t>1、教育支出（类）普通教育（款）学前教育（项）：2019年预算数38.06万元，比上年执行数减少0万元，</w:t>
      </w:r>
      <w:r>
        <w:rPr>
          <w:rFonts w:hint="eastAsia" w:ascii="宋体" w:hAnsi="宋体" w:cs="宋体"/>
          <w:color w:val="000000"/>
          <w:kern w:val="0"/>
          <w:szCs w:val="21"/>
        </w:rPr>
        <w:t>主要原因是上年无预算，属于新增单位。政府性基金预算未安排。</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六、关于乌鲁木齐市第十九幼儿园2019年一般公共预算基本支出情况说明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乌鲁木齐市第十九幼儿园2019年一般公共预算基本支出</w:t>
      </w:r>
      <w:r>
        <w:rPr>
          <w:rFonts w:hint="eastAsia" w:ascii="宋体" w:hAnsi="宋体" w:cs="宋体"/>
          <w:kern w:val="0"/>
          <w:szCs w:val="21"/>
        </w:rPr>
        <w:t>38.06</w:t>
      </w:r>
      <w:r>
        <w:rPr>
          <w:rFonts w:hint="eastAsia" w:ascii="宋体" w:hAnsi="宋体" w:cs="宋体"/>
          <w:color w:val="000000"/>
          <w:kern w:val="0"/>
          <w:szCs w:val="21"/>
        </w:rPr>
        <w:t>万元。</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七、关于乌鲁木齐市第十九幼儿园2019年一般公共预算项目支出情况说明：</w:t>
      </w:r>
    </w:p>
    <w:p>
      <w:pPr>
        <w:widowControl/>
        <w:spacing w:line="580" w:lineRule="exact"/>
        <w:ind w:firstLine="420" w:firstLineChars="200"/>
        <w:jc w:val="left"/>
        <w:rPr>
          <w:rFonts w:ascii="宋体" w:hAnsi="宋体"/>
          <w:color w:val="000000" w:themeColor="text1"/>
          <w:szCs w:val="21"/>
        </w:rPr>
      </w:pPr>
      <w:r>
        <w:rPr>
          <w:rFonts w:hint="eastAsia" w:ascii="宋体" w:hAnsi="宋体"/>
          <w:color w:val="000000" w:themeColor="text1"/>
          <w:szCs w:val="21"/>
        </w:rPr>
        <w:t>乌鲁木齐市十九幼儿园</w:t>
      </w:r>
      <w:r>
        <w:rPr>
          <w:rFonts w:ascii="宋体" w:hAnsi="宋体"/>
          <w:color w:val="000000" w:themeColor="text1"/>
          <w:szCs w:val="21"/>
        </w:rPr>
        <w:t>2018</w:t>
      </w:r>
      <w:r>
        <w:rPr>
          <w:rFonts w:hint="eastAsia" w:ascii="宋体" w:hAnsi="宋体"/>
          <w:color w:val="000000" w:themeColor="text1"/>
          <w:szCs w:val="21"/>
        </w:rPr>
        <w:t>年一般公共预算项目支出38.06万元，主要包括</w:t>
      </w:r>
      <w:r>
        <w:rPr>
          <w:rFonts w:ascii="宋体" w:hAnsi="宋体"/>
          <w:color w:val="000000" w:themeColor="text1"/>
          <w:szCs w:val="21"/>
        </w:rPr>
        <w:t>:201</w:t>
      </w:r>
      <w:r>
        <w:rPr>
          <w:rFonts w:hint="eastAsia" w:ascii="宋体" w:hAnsi="宋体"/>
          <w:color w:val="000000" w:themeColor="text1"/>
          <w:szCs w:val="21"/>
        </w:rPr>
        <w:t>9年学期义务教育保障机制资金38.06万元。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项目名称：</w:t>
      </w:r>
      <w:r>
        <w:rPr>
          <w:rFonts w:ascii="宋体" w:hAnsi="宋体"/>
          <w:color w:val="000000" w:themeColor="text1"/>
          <w:szCs w:val="21"/>
        </w:rPr>
        <w:t>201</w:t>
      </w:r>
      <w:r>
        <w:rPr>
          <w:rFonts w:hint="eastAsia" w:ascii="宋体" w:hAnsi="宋体"/>
          <w:color w:val="000000" w:themeColor="text1"/>
          <w:szCs w:val="21"/>
        </w:rPr>
        <w:t>9年城乡义务教育保障机制资金</w:t>
      </w:r>
    </w:p>
    <w:p>
      <w:pPr>
        <w:spacing w:line="580" w:lineRule="exact"/>
        <w:ind w:firstLine="642"/>
        <w:rPr>
          <w:rFonts w:ascii="宋体" w:hAnsi="宋体" w:cs="宋体"/>
          <w:color w:val="000000" w:themeColor="text1"/>
          <w:szCs w:val="21"/>
        </w:rPr>
      </w:pPr>
      <w:r>
        <w:rPr>
          <w:rFonts w:hint="eastAsia" w:ascii="宋体" w:hAnsi="宋体"/>
          <w:color w:val="000000" w:themeColor="text1"/>
          <w:szCs w:val="21"/>
        </w:rPr>
        <w:t>设立的政策依据：乌财教（2018）59号拨付2018年中央财政支持学前教育发展资金</w:t>
      </w:r>
      <w:bookmarkStart w:id="0" w:name="_GoBack"/>
      <w:bookmarkEnd w:id="0"/>
    </w:p>
    <w:p>
      <w:pPr>
        <w:spacing w:line="580" w:lineRule="exact"/>
        <w:ind w:firstLine="642"/>
        <w:rPr>
          <w:rFonts w:ascii="宋体" w:hAnsi="宋体"/>
          <w:color w:val="000000" w:themeColor="text1"/>
          <w:szCs w:val="21"/>
        </w:rPr>
      </w:pPr>
      <w:r>
        <w:rPr>
          <w:rFonts w:hint="eastAsia" w:ascii="宋体" w:hAnsi="宋体"/>
          <w:color w:val="000000" w:themeColor="text1"/>
          <w:szCs w:val="21"/>
        </w:rPr>
        <w:t>预算安排规模：38.06万元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项目承担单位：乌鲁木齐市第十九幼儿园</w:t>
      </w:r>
    </w:p>
    <w:p>
      <w:pPr>
        <w:spacing w:line="580" w:lineRule="exact"/>
        <w:ind w:firstLine="642"/>
        <w:rPr>
          <w:rFonts w:ascii="宋体" w:hAnsi="宋体"/>
          <w:color w:val="000000" w:themeColor="text1"/>
          <w:szCs w:val="21"/>
        </w:rPr>
      </w:pPr>
      <w:r>
        <w:rPr>
          <w:rFonts w:hint="eastAsia" w:ascii="宋体" w:hAnsi="宋体"/>
          <w:color w:val="000000" w:themeColor="text1"/>
          <w:szCs w:val="21"/>
        </w:rPr>
        <w:t>资金分配情况：38.06万元</w:t>
      </w:r>
    </w:p>
    <w:p>
      <w:pPr>
        <w:spacing w:line="580" w:lineRule="exact"/>
        <w:ind w:firstLine="642"/>
        <w:rPr>
          <w:rFonts w:ascii="宋体" w:hAnsi="宋体"/>
          <w:color w:val="000000" w:themeColor="text1"/>
          <w:szCs w:val="21"/>
        </w:rPr>
      </w:pPr>
      <w:r>
        <w:rPr>
          <w:rFonts w:hint="eastAsia" w:ascii="宋体" w:hAnsi="宋体"/>
          <w:color w:val="000000" w:themeColor="text1"/>
          <w:szCs w:val="21"/>
        </w:rPr>
        <w:t>资金执行时间：</w:t>
      </w:r>
      <w:r>
        <w:rPr>
          <w:rFonts w:ascii="宋体" w:hAnsi="宋体"/>
          <w:color w:val="000000" w:themeColor="text1"/>
          <w:szCs w:val="21"/>
        </w:rPr>
        <w:t>201</w:t>
      </w:r>
      <w:r>
        <w:rPr>
          <w:rFonts w:hint="eastAsia" w:ascii="宋体" w:hAnsi="宋体"/>
          <w:color w:val="000000" w:themeColor="text1"/>
          <w:szCs w:val="21"/>
        </w:rPr>
        <w:t>9年</w:t>
      </w:r>
    </w:p>
    <w:p>
      <w:pPr>
        <w:spacing w:line="580" w:lineRule="exact"/>
        <w:ind w:firstLine="642"/>
        <w:rPr>
          <w:rFonts w:ascii="宋体" w:hAnsi="宋体"/>
          <w:color w:val="000000" w:themeColor="text1"/>
          <w:szCs w:val="21"/>
        </w:rPr>
      </w:pP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八、关于乌鲁木齐市第十九幼儿园2019年一般公共预算“三公”经费预算情况说明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乌鲁木齐市第十九幼儿园2019年“三公”经费财政拨款预算数为0万元，其中：因公出国（境）费 0 万元，公务用车购置 0 万元，公务用车运行费0万元，公务接待费 0 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2019年“三公”经费财政拨款预算比上年减少0 万元，其中：因公出国（境）费增加（减少） 0 万元，主要原因是与上年一致，未安排预算 ；公务用车购置费为0，，主要原因是与上年一致，未安排预算。[或公务用车购置费增加（减少）0 万元，主要原因是 ]；公务用车运行费减少0万元，主要原因是厉行节约；公务接待费增加（减少）0万元，主要原因是与上年一致，未安排预算  。</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九、关于乌鲁木齐市第十九幼儿园2019年政府性基金预算拨款情况说明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乌鲁木齐市第十九幼儿园2019年没有政府性基金预算拨款安排的支出，政府性基金预算支出情况表为空表。</w:t>
      </w:r>
    </w:p>
    <w:p>
      <w:pPr>
        <w:widowControl/>
        <w:shd w:val="clear" w:color="auto" w:fill="FFFFFF"/>
        <w:spacing w:before="100" w:beforeAutospacing="1" w:after="100" w:afterAutospacing="1" w:line="315" w:lineRule="atLeast"/>
        <w:jc w:val="left"/>
        <w:rPr>
          <w:rFonts w:ascii="宋体" w:hAnsi="宋体" w:cs="宋体"/>
          <w:color w:val="000000"/>
          <w:kern w:val="0"/>
          <w:sz w:val="28"/>
          <w:szCs w:val="28"/>
        </w:rPr>
      </w:pPr>
      <w:r>
        <w:rPr>
          <w:rFonts w:hint="eastAsia" w:ascii="宋体" w:hAnsi="宋体" w:cs="宋体"/>
          <w:color w:val="000000"/>
          <w:kern w:val="0"/>
          <w:sz w:val="28"/>
          <w:szCs w:val="28"/>
        </w:rPr>
        <w:t>十、其他重要事项的情况说明</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（一）机关运行经费情况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kern w:val="0"/>
          <w:szCs w:val="21"/>
        </w:rPr>
        <w:t>2019年，乌鲁木齐市第十九幼儿园本级及下属  0家行政单位、 0 家参公管理事业单位和  0家事业单位。</w:t>
      </w:r>
      <w:r>
        <w:rPr>
          <w:rFonts w:hint="eastAsia" w:ascii="宋体" w:hAnsi="宋体" w:cs="宋体"/>
          <w:color w:val="000000"/>
          <w:kern w:val="0"/>
          <w:szCs w:val="21"/>
        </w:rPr>
        <w:t>2019年乌鲁木齐市第十九幼儿园</w:t>
      </w:r>
      <w:r>
        <w:rPr>
          <w:rFonts w:hint="eastAsia" w:ascii="宋体" w:hAnsi="宋体" w:cs="宋体"/>
          <w:szCs w:val="21"/>
        </w:rPr>
        <w:t>机关运行经费财政拨款预算0万元，比上年预算减少0万元，下降0 %。主要原因是</w:t>
      </w:r>
      <w:r>
        <w:rPr>
          <w:rFonts w:hint="eastAsia" w:ascii="宋体" w:hAnsi="宋体" w:cs="宋体"/>
          <w:color w:val="000000"/>
          <w:kern w:val="0"/>
          <w:szCs w:val="21"/>
        </w:rPr>
        <w:t>主要原因是上年无预算，属于新增单位。政府性基金预算未安排。</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（二）政府采购情况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2019年，乌鲁木齐市第十九幼儿园政府采购预算0 万元，其中：政府采购货物预算0 万元，政府采购工程预算0万元，政府采购服务预算0万元。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2019年度本部门面向中小企业预留政府采购项目预算金额0万元，其中：面向小微企业预留政府采购项目预算金额 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（三）国有资产占用使用情况</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截至2018年底，乌鲁木齐市第十九幼儿园及下属各预算单位占用使用国有资产总体情况为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1.房屋1620平方米，价值417.69万元。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2.车辆0辆，价值0万元；其中：一般公务用车0辆，价值 0万元；执法执勤用车0辆，价值0万元；其他车辆 0辆，价值 0万元。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3.办公家具价值</w:t>
      </w:r>
      <w:r>
        <w:rPr>
          <w:rFonts w:hint="eastAsia" w:ascii="宋体" w:hAnsi="宋体" w:cs="宋体"/>
          <w:kern w:val="0"/>
          <w:szCs w:val="21"/>
        </w:rPr>
        <w:t>31.36万</w:t>
      </w:r>
      <w:r>
        <w:rPr>
          <w:rFonts w:hint="eastAsia" w:ascii="宋体" w:hAnsi="宋体" w:cs="宋体"/>
          <w:color w:val="000000"/>
          <w:kern w:val="0"/>
          <w:szCs w:val="21"/>
        </w:rPr>
        <w:t>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4.其他资产价</w:t>
      </w:r>
      <w:r>
        <w:rPr>
          <w:rFonts w:hint="eastAsia" w:ascii="宋体" w:hAnsi="宋体" w:cs="宋体"/>
          <w:kern w:val="0"/>
          <w:szCs w:val="21"/>
        </w:rPr>
        <w:t>值2.38万</w:t>
      </w:r>
      <w:r>
        <w:rPr>
          <w:rFonts w:hint="eastAsia" w:ascii="宋体" w:hAnsi="宋体" w:cs="宋体"/>
          <w:color w:val="000000"/>
          <w:kern w:val="0"/>
          <w:szCs w:val="21"/>
        </w:rPr>
        <w:t>元。</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单位价值50万元以上大型设备0台（套），单位价值100万元以上大型设备0台（套）。</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2019年部门预算未安排购置车辆经费（或安排购置车辆经费 0万元），安排购置50万元以上大型设备0 台（套），单位价值100万元以上大型设备0台（套）。</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（四）预算绩效情况</w:t>
      </w:r>
    </w:p>
    <w:p>
      <w:pPr>
        <w:widowControl/>
        <w:shd w:val="clear" w:color="auto" w:fill="FFFFFF"/>
        <w:spacing w:before="100" w:beforeAutospacing="1" w:after="100" w:afterAutospacing="1" w:line="315" w:lineRule="atLeast"/>
        <w:ind w:firstLine="480"/>
        <w:jc w:val="left"/>
        <w:rPr>
          <w:rFonts w:ascii="宋体" w:hAnsi="宋体" w:cs="宋体"/>
          <w:kern w:val="0"/>
          <w:szCs w:val="21"/>
        </w:rPr>
      </w:pPr>
      <w:r>
        <w:rPr>
          <w:rFonts w:hint="eastAsia" w:ascii="宋体" w:hAnsi="宋体" w:cs="宋体"/>
          <w:kern w:val="0"/>
          <w:szCs w:val="21"/>
        </w:rPr>
        <w:t>2019年度，本年度实行绩效管理的项目1个，涉及预算金额</w:t>
      </w:r>
      <w:r>
        <w:rPr>
          <w:rFonts w:hint="eastAsia" w:ascii="宋体" w:hAnsi="宋体" w:cs="宋体"/>
          <w:kern w:val="0"/>
          <w:sz w:val="18"/>
          <w:szCs w:val="18"/>
        </w:rPr>
        <w:t>38.06</w:t>
      </w:r>
      <w:r>
        <w:rPr>
          <w:rFonts w:hint="eastAsia" w:ascii="宋体" w:hAnsi="宋体" w:cs="宋体"/>
          <w:kern w:val="0"/>
          <w:szCs w:val="21"/>
        </w:rPr>
        <w:t>万元。具体情况见下表（按项目分别填报）：</w:t>
      </w:r>
    </w:p>
    <w:tbl>
      <w:tblPr>
        <w:tblStyle w:val="5"/>
        <w:tblW w:w="8522" w:type="dxa"/>
        <w:tblInd w:w="0" w:type="dxa"/>
        <w:tblLayout w:type="fixed"/>
        <w:tblCellMar>
          <w:top w:w="0" w:type="dxa"/>
          <w:left w:w="108" w:type="dxa"/>
          <w:bottom w:w="0" w:type="dxa"/>
          <w:right w:w="108" w:type="dxa"/>
        </w:tblCellMar>
      </w:tblPr>
      <w:tblGrid>
        <w:gridCol w:w="1292"/>
        <w:gridCol w:w="1090"/>
        <w:gridCol w:w="973"/>
        <w:gridCol w:w="271"/>
        <w:gridCol w:w="671"/>
        <w:gridCol w:w="236"/>
        <w:gridCol w:w="236"/>
        <w:gridCol w:w="1131"/>
        <w:gridCol w:w="236"/>
        <w:gridCol w:w="652"/>
        <w:gridCol w:w="1262"/>
        <w:gridCol w:w="236"/>
        <w:gridCol w:w="236"/>
      </w:tblGrid>
      <w:tr>
        <w:tblPrEx>
          <w:tblLayout w:type="fixed"/>
          <w:tblCellMar>
            <w:top w:w="0" w:type="dxa"/>
            <w:left w:w="108" w:type="dxa"/>
            <w:bottom w:w="0" w:type="dxa"/>
            <w:right w:w="108" w:type="dxa"/>
          </w:tblCellMar>
        </w:tblPrEx>
        <w:trPr>
          <w:trHeight w:val="406" w:hRule="atLeast"/>
        </w:trPr>
        <w:tc>
          <w:tcPr>
            <w:tcW w:w="8522"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29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09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97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94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13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1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47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乌鲁木齐市第十九幼儿园</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6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2019年学前义务教育保障机制资金</w:t>
            </w:r>
          </w:p>
        </w:tc>
      </w:tr>
      <w:tr>
        <w:tblPrEx>
          <w:tblLayout w:type="fixed"/>
          <w:tblCellMar>
            <w:top w:w="0" w:type="dxa"/>
            <w:left w:w="108" w:type="dxa"/>
            <w:bottom w:w="0" w:type="dxa"/>
            <w:right w:w="108" w:type="dxa"/>
          </w:tblCellMar>
        </w:tblPrEx>
        <w:trPr>
          <w:trHeight w:val="451" w:hRule="atLeast"/>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38.06万元</w:t>
            </w:r>
          </w:p>
        </w:tc>
        <w:tc>
          <w:tcPr>
            <w:tcW w:w="11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13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38.06万元　</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7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230"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生均1754元</w:t>
            </w:r>
          </w:p>
        </w:tc>
      </w:tr>
      <w:tr>
        <w:tblPrEx>
          <w:tblLayout w:type="fixed"/>
          <w:tblCellMar>
            <w:top w:w="0" w:type="dxa"/>
            <w:left w:w="108" w:type="dxa"/>
            <w:bottom w:w="0" w:type="dxa"/>
            <w:right w:w="108" w:type="dxa"/>
          </w:tblCellMar>
        </w:tblPrEx>
        <w:trPr>
          <w:trHeight w:val="271" w:hRule="atLeast"/>
        </w:trPr>
        <w:tc>
          <w:tcPr>
            <w:tcW w:w="12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0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5"/>
                <w:szCs w:val="15"/>
              </w:rPr>
              <w:t>指标值（包含数字及文字描述）</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公用经费标准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每生每年1754元/年</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资金执行时间</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2019年1月至2019年12月</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学生人数</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学前217人</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公用经费享受比例</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创造各族青少年学习在学校、生活在学校、成长在学校的良好条件</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办学条件符合标准化、均衡化要求</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减轻学生家庭负担</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学生家庭不需向学校交一分钱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学生、家长满意率</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90%以上　</w:t>
            </w:r>
          </w:p>
        </w:tc>
      </w:tr>
      <w:tr>
        <w:tblPrEx>
          <w:tblLayout w:type="fixed"/>
          <w:tblCellMar>
            <w:top w:w="0" w:type="dxa"/>
            <w:left w:w="108" w:type="dxa"/>
            <w:bottom w:w="0" w:type="dxa"/>
            <w:right w:w="108" w:type="dxa"/>
          </w:tblCellMar>
        </w:tblPrEx>
        <w:trPr>
          <w:trHeight w:val="271" w:hRule="atLeast"/>
        </w:trPr>
        <w:tc>
          <w:tcPr>
            <w:tcW w:w="12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5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hd w:val="clear" w:color="auto" w:fill="FFFFFF"/>
        <w:spacing w:before="100" w:beforeAutospacing="1" w:after="100" w:afterAutospacing="1" w:line="315" w:lineRule="atLeast"/>
        <w:jc w:val="left"/>
        <w:rPr>
          <w:rFonts w:ascii="宋体" w:hAnsi="宋体" w:cs="宋体"/>
          <w:b/>
          <w:bCs/>
          <w:color w:val="000000"/>
          <w:kern w:val="0"/>
          <w:szCs w:val="21"/>
        </w:rPr>
      </w:pP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b/>
          <w:bCs/>
          <w:color w:val="000000"/>
          <w:kern w:val="0"/>
          <w:szCs w:val="21"/>
        </w:rPr>
        <w:t>（五）其他需说明的事项：无</w:t>
      </w:r>
    </w:p>
    <w:p>
      <w:pPr>
        <w:widowControl/>
        <w:shd w:val="clear" w:color="auto" w:fill="FFFFFF"/>
        <w:spacing w:before="100" w:beforeAutospacing="1" w:after="100" w:afterAutospacing="1" w:line="315" w:lineRule="atLeast"/>
        <w:ind w:firstLine="480"/>
        <w:jc w:val="center"/>
        <w:rPr>
          <w:rFonts w:ascii="宋体" w:hAnsi="宋体" w:cs="宋体"/>
          <w:color w:val="000000"/>
          <w:kern w:val="0"/>
          <w:szCs w:val="21"/>
        </w:rPr>
      </w:pPr>
      <w:r>
        <w:rPr>
          <w:rFonts w:hint="eastAsia" w:ascii="宋体" w:hAnsi="宋体" w:cs="宋体"/>
          <w:color w:val="000000"/>
          <w:kern w:val="0"/>
          <w:szCs w:val="21"/>
        </w:rPr>
        <w:t>第四部分 名词解释</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名词解释：</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一、财政拨款：指由一般公共预算、政府性基金预算安排的财政拨款数。</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二、一般公共预算：包括公共财政拨款（补助）资金、专项收入。</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三、非税收入：包括罚没收入、国有资源（资产）有偿使用收入、行政事业性收费收入等。</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四、其他资金：包括事业收入、经营收入、其他收入等。</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五、基本支出：包括人员经费、商品和服务支出（定额）。其中，人员经费包括工资福利支出、对个人和家庭的补助。</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六、项目支出：部门支出预算的组成部分，是市本级部门为完成其特定的行政任务或事业发展目标，在基本支出预算之外编制的年度项目支出计划。</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r>
        <w:rPr>
          <w:rFonts w:hint="eastAsia" w:ascii="宋体" w:hAnsi="宋体" w:cs="宋体"/>
          <w:color w:val="000000"/>
          <w:kern w:val="0"/>
          <w:szCs w:val="21"/>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p>
    <w:p>
      <w:pPr>
        <w:widowControl/>
        <w:shd w:val="clear" w:color="auto" w:fill="FFFFFF"/>
        <w:spacing w:before="100" w:beforeAutospacing="1" w:after="100" w:afterAutospacing="1" w:line="315" w:lineRule="atLeast"/>
        <w:ind w:firstLine="480"/>
        <w:jc w:val="left"/>
        <w:rPr>
          <w:rFonts w:ascii="宋体" w:hAnsi="宋体" w:cs="宋体"/>
          <w:color w:val="000000"/>
          <w:kern w:val="0"/>
          <w:szCs w:val="21"/>
        </w:rPr>
      </w:pPr>
    </w:p>
    <w:p>
      <w:pPr>
        <w:widowControl/>
        <w:shd w:val="clear" w:color="auto" w:fill="FFFFFF"/>
        <w:spacing w:before="100" w:beforeAutospacing="1" w:after="100" w:afterAutospacing="1" w:line="315" w:lineRule="atLeast"/>
        <w:ind w:firstLine="4674" w:firstLineChars="2226"/>
        <w:jc w:val="left"/>
        <w:rPr>
          <w:rFonts w:ascii="宋体" w:hAnsi="宋体" w:cs="宋体"/>
          <w:color w:val="000000"/>
          <w:kern w:val="0"/>
          <w:szCs w:val="21"/>
        </w:rPr>
      </w:pPr>
      <w:r>
        <w:rPr>
          <w:rFonts w:hint="eastAsia" w:ascii="宋体" w:hAnsi="宋体" w:cs="宋体"/>
          <w:color w:val="000000"/>
          <w:kern w:val="0"/>
          <w:szCs w:val="21"/>
        </w:rPr>
        <w:t>乌鲁木齐市第十九幼儿园</w:t>
      </w:r>
    </w:p>
    <w:p>
      <w:pPr>
        <w:widowControl/>
        <w:shd w:val="clear" w:color="auto" w:fill="FFFFFF"/>
        <w:spacing w:before="100" w:beforeAutospacing="1" w:after="100" w:afterAutospacing="1" w:line="315" w:lineRule="atLeast"/>
        <w:ind w:firstLine="5094" w:firstLineChars="2426"/>
        <w:jc w:val="left"/>
        <w:rPr>
          <w:rFonts w:ascii="宋体" w:hAnsi="宋体" w:cs="宋体"/>
          <w:color w:val="000000"/>
          <w:kern w:val="0"/>
          <w:szCs w:val="21"/>
        </w:rPr>
      </w:pPr>
      <w:r>
        <w:rPr>
          <w:rFonts w:hint="eastAsia" w:ascii="宋体" w:hAnsi="宋体" w:cs="宋体"/>
          <w:color w:val="000000"/>
          <w:kern w:val="0"/>
          <w:szCs w:val="21"/>
        </w:rPr>
        <w:t>2019年2月28日</w:t>
      </w:r>
    </w:p>
    <w:p>
      <w:pPr>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Defaul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4F821"/>
    <w:multiLevelType w:val="singleLevel"/>
    <w:tmpl w:val="73A4F82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3411"/>
    <w:rsid w:val="00004AB7"/>
    <w:rsid w:val="00025A77"/>
    <w:rsid w:val="00030DAA"/>
    <w:rsid w:val="000401B4"/>
    <w:rsid w:val="00044A76"/>
    <w:rsid w:val="00045A7A"/>
    <w:rsid w:val="00055B11"/>
    <w:rsid w:val="00080681"/>
    <w:rsid w:val="00080FFA"/>
    <w:rsid w:val="000A01B6"/>
    <w:rsid w:val="000A1D3C"/>
    <w:rsid w:val="000A3CBA"/>
    <w:rsid w:val="000B4AE0"/>
    <w:rsid w:val="000D0A99"/>
    <w:rsid w:val="000E0E31"/>
    <w:rsid w:val="00105A6A"/>
    <w:rsid w:val="00120F73"/>
    <w:rsid w:val="00141DBF"/>
    <w:rsid w:val="00161E12"/>
    <w:rsid w:val="001735F2"/>
    <w:rsid w:val="001C44E4"/>
    <w:rsid w:val="001D02B7"/>
    <w:rsid w:val="001F0496"/>
    <w:rsid w:val="001F5472"/>
    <w:rsid w:val="00206C16"/>
    <w:rsid w:val="00223704"/>
    <w:rsid w:val="002269A1"/>
    <w:rsid w:val="00226E74"/>
    <w:rsid w:val="00227668"/>
    <w:rsid w:val="00232F42"/>
    <w:rsid w:val="0025648E"/>
    <w:rsid w:val="002843FF"/>
    <w:rsid w:val="00284651"/>
    <w:rsid w:val="00286D9B"/>
    <w:rsid w:val="002D5919"/>
    <w:rsid w:val="00303E58"/>
    <w:rsid w:val="00320B56"/>
    <w:rsid w:val="0032162A"/>
    <w:rsid w:val="00332CD2"/>
    <w:rsid w:val="0034532C"/>
    <w:rsid w:val="00373A1B"/>
    <w:rsid w:val="00374FDA"/>
    <w:rsid w:val="003C72D8"/>
    <w:rsid w:val="003D535D"/>
    <w:rsid w:val="00404279"/>
    <w:rsid w:val="0041231E"/>
    <w:rsid w:val="004728A7"/>
    <w:rsid w:val="004752DB"/>
    <w:rsid w:val="00487F2A"/>
    <w:rsid w:val="004912EA"/>
    <w:rsid w:val="004A0CE2"/>
    <w:rsid w:val="004A5C91"/>
    <w:rsid w:val="004E4558"/>
    <w:rsid w:val="004E6261"/>
    <w:rsid w:val="00504527"/>
    <w:rsid w:val="00517759"/>
    <w:rsid w:val="00523134"/>
    <w:rsid w:val="00550230"/>
    <w:rsid w:val="005579C2"/>
    <w:rsid w:val="00572739"/>
    <w:rsid w:val="005805B7"/>
    <w:rsid w:val="00596A1D"/>
    <w:rsid w:val="005B0320"/>
    <w:rsid w:val="005B2FC4"/>
    <w:rsid w:val="005C0124"/>
    <w:rsid w:val="005C5726"/>
    <w:rsid w:val="006329B3"/>
    <w:rsid w:val="00641520"/>
    <w:rsid w:val="00670906"/>
    <w:rsid w:val="006A5CC0"/>
    <w:rsid w:val="006B48CE"/>
    <w:rsid w:val="006D7809"/>
    <w:rsid w:val="006E3411"/>
    <w:rsid w:val="00701654"/>
    <w:rsid w:val="00714E83"/>
    <w:rsid w:val="007150B1"/>
    <w:rsid w:val="0071515B"/>
    <w:rsid w:val="00735DEE"/>
    <w:rsid w:val="007579B0"/>
    <w:rsid w:val="00787B52"/>
    <w:rsid w:val="007C4AFD"/>
    <w:rsid w:val="007D1FB6"/>
    <w:rsid w:val="007E0ECF"/>
    <w:rsid w:val="007F19B8"/>
    <w:rsid w:val="00813B4A"/>
    <w:rsid w:val="00821ACA"/>
    <w:rsid w:val="00822EA4"/>
    <w:rsid w:val="00823447"/>
    <w:rsid w:val="00831A31"/>
    <w:rsid w:val="008423BB"/>
    <w:rsid w:val="00842C5A"/>
    <w:rsid w:val="00874441"/>
    <w:rsid w:val="008A5405"/>
    <w:rsid w:val="008B3772"/>
    <w:rsid w:val="008C2529"/>
    <w:rsid w:val="008D0C2F"/>
    <w:rsid w:val="008D70D7"/>
    <w:rsid w:val="008E298B"/>
    <w:rsid w:val="00907D1B"/>
    <w:rsid w:val="009153EF"/>
    <w:rsid w:val="00915FA8"/>
    <w:rsid w:val="00924106"/>
    <w:rsid w:val="00937F79"/>
    <w:rsid w:val="00974B30"/>
    <w:rsid w:val="00976143"/>
    <w:rsid w:val="00990A8D"/>
    <w:rsid w:val="009A3C27"/>
    <w:rsid w:val="009B5125"/>
    <w:rsid w:val="009C64B7"/>
    <w:rsid w:val="009C66C9"/>
    <w:rsid w:val="009D1DB8"/>
    <w:rsid w:val="009F3FE8"/>
    <w:rsid w:val="009F73B0"/>
    <w:rsid w:val="00A035AF"/>
    <w:rsid w:val="00A1774C"/>
    <w:rsid w:val="00A307F2"/>
    <w:rsid w:val="00A34042"/>
    <w:rsid w:val="00A84061"/>
    <w:rsid w:val="00AB2B28"/>
    <w:rsid w:val="00AE15C4"/>
    <w:rsid w:val="00AF57B4"/>
    <w:rsid w:val="00B20860"/>
    <w:rsid w:val="00B23700"/>
    <w:rsid w:val="00B27C5F"/>
    <w:rsid w:val="00B441A5"/>
    <w:rsid w:val="00B57CDC"/>
    <w:rsid w:val="00B67E4E"/>
    <w:rsid w:val="00B70586"/>
    <w:rsid w:val="00B80CB2"/>
    <w:rsid w:val="00B92FA5"/>
    <w:rsid w:val="00B94F87"/>
    <w:rsid w:val="00BA4CC4"/>
    <w:rsid w:val="00BC5F43"/>
    <w:rsid w:val="00BD4FD7"/>
    <w:rsid w:val="00BD7C5B"/>
    <w:rsid w:val="00C151D3"/>
    <w:rsid w:val="00C24A2D"/>
    <w:rsid w:val="00C253F1"/>
    <w:rsid w:val="00C36FCA"/>
    <w:rsid w:val="00C4069E"/>
    <w:rsid w:val="00C4531D"/>
    <w:rsid w:val="00C50E09"/>
    <w:rsid w:val="00C51820"/>
    <w:rsid w:val="00C54D89"/>
    <w:rsid w:val="00C74E9C"/>
    <w:rsid w:val="00C81830"/>
    <w:rsid w:val="00C96E9B"/>
    <w:rsid w:val="00CB4997"/>
    <w:rsid w:val="00D35213"/>
    <w:rsid w:val="00D37FCB"/>
    <w:rsid w:val="00D41A07"/>
    <w:rsid w:val="00D5597A"/>
    <w:rsid w:val="00D77F01"/>
    <w:rsid w:val="00D8720F"/>
    <w:rsid w:val="00DA2B41"/>
    <w:rsid w:val="00DB08AD"/>
    <w:rsid w:val="00DC641B"/>
    <w:rsid w:val="00E2258D"/>
    <w:rsid w:val="00E56142"/>
    <w:rsid w:val="00E70B38"/>
    <w:rsid w:val="00E961D5"/>
    <w:rsid w:val="00E97BD0"/>
    <w:rsid w:val="00EA54A7"/>
    <w:rsid w:val="00EC0791"/>
    <w:rsid w:val="00EE44F9"/>
    <w:rsid w:val="00EE7572"/>
    <w:rsid w:val="00EF5093"/>
    <w:rsid w:val="00EF6DDE"/>
    <w:rsid w:val="00F110AC"/>
    <w:rsid w:val="00F119E7"/>
    <w:rsid w:val="00F12686"/>
    <w:rsid w:val="00F43539"/>
    <w:rsid w:val="00F44858"/>
    <w:rsid w:val="00F4518A"/>
    <w:rsid w:val="00F67BA6"/>
    <w:rsid w:val="00FA48DA"/>
    <w:rsid w:val="00FB5943"/>
    <w:rsid w:val="00FE60B0"/>
    <w:rsid w:val="00FF126A"/>
    <w:rsid w:val="00FF4448"/>
    <w:rsid w:val="114C3EAE"/>
    <w:rsid w:val="14F71693"/>
    <w:rsid w:val="1D133835"/>
    <w:rsid w:val="28B65B7A"/>
    <w:rsid w:val="2F9B4E18"/>
    <w:rsid w:val="33081044"/>
    <w:rsid w:val="3CBA1672"/>
    <w:rsid w:val="40254889"/>
    <w:rsid w:val="4CBF4605"/>
    <w:rsid w:val="65D748E7"/>
    <w:rsid w:val="65E518C6"/>
    <w:rsid w:val="69EE13C5"/>
    <w:rsid w:val="6ACC1B16"/>
    <w:rsid w:val="7D19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样式1"/>
    <w:basedOn w:val="1"/>
    <w:link w:val="10"/>
    <w:qFormat/>
    <w:uiPriority w:val="0"/>
    <w:pPr>
      <w:widowControl/>
      <w:shd w:val="clear" w:color="auto" w:fill="FFFFFF"/>
      <w:spacing w:before="100" w:beforeAutospacing="1" w:after="100" w:afterAutospacing="1" w:line="315" w:lineRule="atLeast"/>
      <w:ind w:firstLine="480"/>
      <w:jc w:val="center"/>
    </w:pPr>
    <w:rPr>
      <w:rFonts w:ascii="宋体" w:hAnsi="宋体" w:cs="宋体"/>
      <w:color w:val="000000"/>
      <w:kern w:val="0"/>
      <w:szCs w:val="21"/>
    </w:rPr>
  </w:style>
  <w:style w:type="character" w:customStyle="1" w:styleId="10">
    <w:name w:val="样式1 Char"/>
    <w:basedOn w:val="6"/>
    <w:link w:val="9"/>
    <w:uiPriority w:val="0"/>
    <w:rPr>
      <w:rFonts w:ascii="宋体" w:hAnsi="宋体" w:cs="宋体"/>
      <w:color w:val="000000"/>
      <w:sz w:val="21"/>
      <w:szCs w:val="21"/>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1084</Words>
  <Characters>6181</Characters>
  <Lines>51</Lines>
  <Paragraphs>14</Paragraphs>
  <TotalTime>15</TotalTime>
  <ScaleCrop>false</ScaleCrop>
  <LinksUpToDate>false</LinksUpToDate>
  <CharactersWithSpaces>7251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2019-03-03T10:28:00Z</dcterms:created>
  <dc:creator>微软用户</dc:creator>
  <cp:lastModifiedBy>mwp</cp:lastModifiedBy>
  <cp:lastPrinted>2018-12-21T15:56:00Z</cp:lastPrinted>
  <dcterms:modified xsi:type="dcterms:W3CDTF">2019-08-19T05:20:28Z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