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autoSpaceDE w:val="0"/>
        <w:autoSpaceDN w:val="0"/>
        <w:adjustRightInd w:val="0"/>
        <w:spacing w:beforeLines="0" w:afterLines="0"/>
        <w:jc w:val="center"/>
        <w:rPr>
          <w:rFonts w:hint="eastAsia" w:ascii="方正小标宋简体" w:eastAsia="方正小标宋简体"/>
          <w:kern w:val="36"/>
          <w:sz w:val="40"/>
          <w:szCs w:val="24"/>
          <w:lang w:val="zh-CN"/>
        </w:rPr>
      </w:pPr>
      <w:r>
        <w:rPr>
          <w:rFonts w:hint="eastAsia" w:ascii="方正小标宋_GBK" w:hAnsi="Times New Roman" w:eastAsia="方正小标宋_GBK" w:cs="方正小标宋_GBK"/>
          <w:sz w:val="44"/>
          <w:szCs w:val="44"/>
        </w:rPr>
        <w:t>乌鲁木齐高新技术产业开发区（乌鲁木齐市新市区）</w:t>
      </w:r>
      <w:r>
        <w:rPr>
          <w:rFonts w:hint="eastAsia" w:ascii="方正小标宋简体" w:eastAsia="方正小标宋简体"/>
          <w:kern w:val="36"/>
          <w:sz w:val="40"/>
          <w:szCs w:val="24"/>
          <w:lang w:val="zh-CN"/>
        </w:rPr>
        <w:t>百园路片区管理委员会</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shd w:val="clear" w:color="auto" w:fill="FFFFFF"/>
        <w:spacing w:beforeLines="0" w:afterLines="0" w:line="360" w:lineRule="auto"/>
        <w:ind w:firstLine="640" w:firstLineChars="200"/>
        <w:rPr>
          <w:rFonts w:hint="eastAsia" w:ascii="仿宋_GB2312" w:hAnsi="仿宋_GB2312" w:eastAsia="仿宋_GB2312"/>
          <w:kern w:val="0"/>
          <w:sz w:val="32"/>
          <w:szCs w:val="24"/>
        </w:rPr>
      </w:pPr>
      <w:bookmarkStart w:id="4" w:name="_Toc31238"/>
      <w:bookmarkStart w:id="5" w:name="_Toc2151"/>
      <w:r>
        <w:rPr>
          <w:rFonts w:hint="eastAsia" w:ascii="仿宋_GB2312" w:hAnsi="仿宋_GB2312" w:eastAsia="仿宋_GB2312"/>
          <w:kern w:val="0"/>
          <w:sz w:val="32"/>
          <w:szCs w:val="24"/>
        </w:rPr>
        <w:t>（一）乌鲁木齐高新技术产业开发区（乌鲁木齐市新市区）</w:t>
      </w:r>
      <w:r>
        <w:rPr>
          <w:rFonts w:hint="eastAsia" w:ascii="仿宋_GB2312" w:hAnsi="仿宋_GB2312" w:eastAsia="仿宋_GB2312"/>
          <w:kern w:val="0"/>
          <w:sz w:val="32"/>
          <w:szCs w:val="24"/>
          <w:lang w:eastAsia="zh-CN"/>
        </w:rPr>
        <w:t>百园路片区管理委员会</w:t>
      </w:r>
      <w:r>
        <w:rPr>
          <w:rFonts w:hint="eastAsia" w:ascii="仿宋_GB2312" w:hAnsi="仿宋_GB2312" w:eastAsia="仿宋_GB2312"/>
          <w:kern w:val="0"/>
          <w:sz w:val="32"/>
          <w:szCs w:val="24"/>
        </w:rPr>
        <w:t>党政机构职能：</w:t>
      </w:r>
    </w:p>
    <w:p>
      <w:pPr>
        <w:shd w:val="clear" w:color="auto" w:fill="FFFFFF"/>
        <w:spacing w:beforeLines="0" w:afterLines="0" w:line="360" w:lineRule="auto"/>
        <w:ind w:firstLine="640" w:firstLineChars="200"/>
        <w:rPr>
          <w:rFonts w:hint="eastAsia" w:ascii="仿宋_GB2312" w:hAnsi="仿宋_GB2312" w:eastAsia="仿宋_GB2312"/>
          <w:kern w:val="0"/>
          <w:sz w:val="32"/>
          <w:szCs w:val="24"/>
        </w:rPr>
      </w:pPr>
      <w:r>
        <w:rPr>
          <w:rFonts w:hint="eastAsia" w:ascii="仿宋_GB2312" w:hAnsi="仿宋_GB2312" w:eastAsia="仿宋_GB2312"/>
          <w:kern w:val="0"/>
          <w:sz w:val="32"/>
          <w:szCs w:val="24"/>
        </w:rPr>
        <w:t>1.党建办公室:主要负责党务、组织、纪检、宣传、人事、老干部等工作的规划、管理、协调和监督工作;负责宣传党的各项方针、政策;负责党的基层组织建设和党员队伍建设工作;负责党风廉政建设工作;承担人大工作委员会日常工作;负责政协委员的联络工作;负责团委、工会、妇联等群团组织的日常工作。</w:t>
      </w:r>
      <w:r>
        <w:rPr>
          <w:rFonts w:hint="eastAsia" w:ascii="仿宋_GB2312" w:hAnsi="仿宋_GB2312" w:eastAsia="仿宋_GB2312"/>
          <w:kern w:val="0"/>
          <w:sz w:val="32"/>
          <w:szCs w:val="24"/>
        </w:rPr>
        <w:br w:type="textWrapping"/>
      </w:r>
      <w:r>
        <w:rPr>
          <w:rFonts w:hint="eastAsia" w:ascii="仿宋_GB2312" w:hAnsi="仿宋_GB2312" w:eastAsia="仿宋_GB2312"/>
          <w:kern w:val="0"/>
          <w:sz w:val="32"/>
          <w:szCs w:val="24"/>
        </w:rPr>
        <w:t xml:space="preserve">    2.综合协调办公室(综合执法办公室):主要负责文秘、档案、保密、翻译、财务、综合协调、后勤保障等工作;拟定经济发展、产业结构调整规划、计划并组织实施;负责制定</w:t>
      </w:r>
      <w:r>
        <w:rPr>
          <w:rFonts w:hint="eastAsia" w:ascii="仿宋_GB2312" w:hAnsi="仿宋_GB2312" w:eastAsia="仿宋_GB2312"/>
          <w:kern w:val="0"/>
          <w:sz w:val="32"/>
          <w:szCs w:val="24"/>
          <w:lang w:eastAsia="zh-CN"/>
        </w:rPr>
        <w:t>片区</w:t>
      </w:r>
      <w:r>
        <w:rPr>
          <w:rFonts w:hint="eastAsia" w:ascii="仿宋_GB2312" w:hAnsi="仿宋_GB2312" w:eastAsia="仿宋_GB2312"/>
          <w:kern w:val="0"/>
          <w:sz w:val="32"/>
          <w:szCs w:val="24"/>
        </w:rPr>
        <w:t>各项工作制度并监督落实;负责</w:t>
      </w:r>
      <w:r>
        <w:rPr>
          <w:rFonts w:hint="eastAsia" w:ascii="仿宋_GB2312" w:hAnsi="仿宋_GB2312" w:eastAsia="仿宋_GB2312"/>
          <w:kern w:val="0"/>
          <w:sz w:val="32"/>
          <w:szCs w:val="24"/>
          <w:lang w:eastAsia="zh-CN"/>
        </w:rPr>
        <w:t>片区</w:t>
      </w:r>
      <w:r>
        <w:rPr>
          <w:rFonts w:hint="eastAsia" w:ascii="仿宋_GB2312" w:hAnsi="仿宋_GB2312" w:eastAsia="仿宋_GB2312"/>
          <w:kern w:val="0"/>
          <w:sz w:val="32"/>
          <w:szCs w:val="24"/>
        </w:rPr>
        <w:t>机关效能建设及绩效考核;负责社区考核;负责机关、派驻机构、事业机构的协调和综合服务工作;做好统战、民族宗教、司法、人武、科技、文化体育、卫生健康、计划生育、安全生产、应急管理等工作;负责行政综合执法工作的规划、管理协调和监督工作;负责拟订综合行政执法队伍统一的运行管理制度，包括日常工作制度、包片负责制度、执法处置制度、执法协调制度等;负责联系协调管委会(区人民政府):相关行政部门派驻</w:t>
      </w:r>
      <w:r>
        <w:rPr>
          <w:rFonts w:hint="eastAsia" w:ascii="仿宋_GB2312" w:hAnsi="仿宋_GB2312" w:eastAsia="仿宋_GB2312"/>
          <w:kern w:val="0"/>
          <w:sz w:val="32"/>
          <w:szCs w:val="24"/>
          <w:lang w:eastAsia="zh-CN"/>
        </w:rPr>
        <w:t>片区</w:t>
      </w:r>
      <w:r>
        <w:rPr>
          <w:rFonts w:hint="eastAsia" w:ascii="仿宋_GB2312" w:hAnsi="仿宋_GB2312" w:eastAsia="仿宋_GB2312"/>
          <w:kern w:val="0"/>
          <w:sz w:val="32"/>
          <w:szCs w:val="24"/>
        </w:rPr>
        <w:t>执法人员以及</w:t>
      </w:r>
      <w:r>
        <w:rPr>
          <w:rFonts w:hint="eastAsia" w:ascii="仿宋_GB2312" w:hAnsi="仿宋_GB2312" w:eastAsia="仿宋_GB2312"/>
          <w:kern w:val="0"/>
          <w:sz w:val="32"/>
          <w:szCs w:val="24"/>
          <w:lang w:eastAsia="zh-CN"/>
        </w:rPr>
        <w:t>片区</w:t>
      </w:r>
      <w:r>
        <w:rPr>
          <w:rFonts w:hint="eastAsia" w:ascii="仿宋_GB2312" w:hAnsi="仿宋_GB2312" w:eastAsia="仿宋_GB2312"/>
          <w:kern w:val="0"/>
          <w:sz w:val="32"/>
          <w:szCs w:val="24"/>
        </w:rPr>
        <w:t>执法人员在辖区内开展综合行政执法工作。</w:t>
      </w:r>
      <w:r>
        <w:rPr>
          <w:rFonts w:hint="eastAsia" w:ascii="仿宋_GB2312" w:hAnsi="仿宋_GB2312" w:eastAsia="仿宋_GB2312"/>
          <w:kern w:val="0"/>
          <w:sz w:val="32"/>
          <w:szCs w:val="24"/>
        </w:rPr>
        <w:br w:type="textWrapping"/>
      </w:r>
      <w:r>
        <w:rPr>
          <w:rFonts w:hint="eastAsia" w:ascii="仿宋_GB2312" w:hAnsi="仿宋_GB2312" w:eastAsia="仿宋_GB2312"/>
          <w:kern w:val="0"/>
          <w:sz w:val="32"/>
          <w:szCs w:val="24"/>
        </w:rPr>
        <w:t xml:space="preserve">    (二)乌鲁木齐高新技术产业开发区（乌鲁木齐市新市区）</w:t>
      </w:r>
      <w:r>
        <w:rPr>
          <w:rFonts w:hint="eastAsia" w:ascii="仿宋_GB2312" w:hAnsi="仿宋_GB2312" w:eastAsia="仿宋_GB2312"/>
          <w:kern w:val="0"/>
          <w:sz w:val="32"/>
          <w:szCs w:val="24"/>
          <w:lang w:eastAsia="zh-CN"/>
        </w:rPr>
        <w:t>百园路片区管理委员会</w:t>
      </w:r>
      <w:r>
        <w:rPr>
          <w:rFonts w:hint="eastAsia" w:ascii="仿宋_GB2312" w:hAnsi="仿宋_GB2312" w:eastAsia="仿宋_GB2312"/>
          <w:kern w:val="0"/>
          <w:sz w:val="32"/>
          <w:szCs w:val="24"/>
        </w:rPr>
        <w:t xml:space="preserve">事业单位职能 ： </w:t>
      </w:r>
    </w:p>
    <w:p>
      <w:pPr>
        <w:shd w:val="clear" w:color="auto" w:fill="FFFFFF"/>
        <w:spacing w:beforeLines="0" w:afterLines="0" w:line="360" w:lineRule="auto"/>
        <w:ind w:firstLine="640" w:firstLineChars="200"/>
        <w:rPr>
          <w:rFonts w:hint="eastAsia" w:ascii="仿宋_GB2312" w:hAnsi="仿宋_GB2312" w:eastAsia="仿宋_GB2312"/>
          <w:kern w:val="0"/>
          <w:sz w:val="32"/>
          <w:szCs w:val="24"/>
        </w:rPr>
      </w:pPr>
      <w:r>
        <w:rPr>
          <w:rFonts w:hint="eastAsia" w:ascii="仿宋_GB2312" w:hAnsi="仿宋_GB2312" w:eastAsia="仿宋_GB2312"/>
          <w:kern w:val="0"/>
          <w:sz w:val="32"/>
          <w:szCs w:val="24"/>
        </w:rPr>
        <w:t>1.党群服务中心:负责组织开展辖区居民的宣传、发动、服务工作;负责“</w:t>
      </w:r>
      <w:r>
        <w:rPr>
          <w:rFonts w:hint="eastAsia" w:ascii="仿宋_GB2312" w:hAnsi="仿宋_GB2312" w:eastAsia="仿宋_GB2312"/>
          <w:kern w:val="0"/>
          <w:sz w:val="32"/>
          <w:szCs w:val="24"/>
          <w:lang w:eastAsia="zh-CN"/>
        </w:rPr>
        <w:t>工作队</w:t>
      </w:r>
      <w:r>
        <w:rPr>
          <w:rFonts w:hint="eastAsia" w:ascii="仿宋_GB2312" w:hAnsi="仿宋_GB2312" w:eastAsia="仿宋_GB2312"/>
          <w:kern w:val="0"/>
          <w:sz w:val="32"/>
          <w:szCs w:val="24"/>
        </w:rPr>
        <w:t>”驻社区工作;负责辖区社团组织的培育、发展、和管理；负责辖区政府购关社会服务项目的提设计和采购；负责特殊群体的帮教帮扶、解决居民困难诉求求等工作;负责指导社区升国旗、市民夜校以及图书室、义工志愿者、服务积分兑换点等群众工作机制的落实，并不断拓展教育服务群众的形式和载体。</w:t>
      </w:r>
    </w:p>
    <w:p>
      <w:pPr>
        <w:shd w:val="clear" w:color="auto" w:fill="FFFFFF"/>
        <w:spacing w:beforeLines="0" w:afterLines="0" w:line="360" w:lineRule="auto"/>
        <w:ind w:firstLine="640" w:firstLineChars="200"/>
        <w:rPr>
          <w:rFonts w:hint="eastAsia" w:ascii="仿宋_GB2312" w:hAnsi="仿宋_GB2312" w:eastAsia="仿宋_GB2312"/>
          <w:kern w:val="0"/>
          <w:sz w:val="32"/>
          <w:szCs w:val="24"/>
          <w:lang w:val="zh-CN"/>
        </w:rPr>
      </w:pPr>
      <w:r>
        <w:rPr>
          <w:rFonts w:hint="eastAsia" w:ascii="仿宋_GB2312" w:hAnsi="仿宋_GB2312" w:eastAsia="仿宋_GB2312"/>
          <w:kern w:val="0"/>
          <w:sz w:val="32"/>
          <w:szCs w:val="24"/>
        </w:rPr>
        <w:t>2.社会事务(统计)服务中心(退役军人服务站):主要负责经济发展、民政、教育、劳动就业、社会保障、社会救助、退役军人、残疾人事业等方面的服务工作;协助管委会(区人民政府)制定民政、教育、劳动就业、社会保障、退役军人、残疾人事业等工作的发展规划和年度计划并组织实施;履行统计职责;组织开展环境卫生整治工作;协助做好生态环保相关工作。</w:t>
      </w:r>
      <w:r>
        <w:rPr>
          <w:rFonts w:hint="eastAsia" w:ascii="仿宋_GB2312" w:hAnsi="仿宋_GB2312" w:eastAsia="仿宋_GB2312"/>
          <w:kern w:val="0"/>
          <w:sz w:val="32"/>
          <w:szCs w:val="24"/>
        </w:rPr>
        <w:br w:type="textWrapping"/>
      </w:r>
      <w:r>
        <w:rPr>
          <w:rFonts w:hint="eastAsia" w:ascii="仿宋_GB2312" w:hAnsi="仿宋_GB2312" w:eastAsia="仿宋_GB2312"/>
          <w:kern w:val="0"/>
          <w:sz w:val="32"/>
          <w:szCs w:val="24"/>
        </w:rPr>
        <w:t xml:space="preserve">    3.防疫专员办公室(公共卫生服务指导中心):指导辖区单位建立并落实重大传染病和突发公共卫生事件早预警、早报告制度，组织开展疫情防控、应急演练和应急处置工作;组织开展爱国卫生、环境消杀等常态化工作，推进全民参与、群防群治;组织开展公共卫生、防疫知识宣传培训，督促落实各项公共卫生防控措施;负责辖区预防接种、计划生育、健康教育和健康促进行动等基本公共卫生服务工作。</w:t>
      </w:r>
      <w:r>
        <w:rPr>
          <w:rFonts w:hint="eastAsia" w:ascii="仿宋_GB2312" w:hAnsi="仿宋_GB2312" w:eastAsia="仿宋_GB2312"/>
          <w:kern w:val="0"/>
          <w:sz w:val="32"/>
          <w:szCs w:val="24"/>
        </w:rPr>
        <w:br w:type="textWrapping"/>
      </w:r>
      <w:r>
        <w:rPr>
          <w:rFonts w:hint="eastAsia" w:ascii="仿宋_GB2312" w:hAnsi="仿宋_GB2312" w:eastAsia="仿宋_GB2312"/>
          <w:kern w:val="0"/>
          <w:sz w:val="32"/>
          <w:szCs w:val="24"/>
        </w:rPr>
        <w:t xml:space="preserve">    4.</w:t>
      </w:r>
      <w:r>
        <w:rPr>
          <w:rFonts w:hint="eastAsia" w:ascii="仿宋_GB2312" w:hAnsi="仿宋_GB2312" w:eastAsia="仿宋_GB2312"/>
          <w:kern w:val="0"/>
          <w:sz w:val="32"/>
          <w:szCs w:val="24"/>
          <w:lang w:eastAsia="zh-CN"/>
        </w:rPr>
        <w:t>治理</w:t>
      </w:r>
      <w:r>
        <w:rPr>
          <w:rFonts w:hint="eastAsia" w:ascii="仿宋_GB2312" w:hAnsi="仿宋_GB2312" w:eastAsia="仿宋_GB2312"/>
          <w:kern w:val="0"/>
          <w:sz w:val="32"/>
          <w:szCs w:val="24"/>
        </w:rPr>
        <w:t>中心(网格化服务中心):负责法治建设、平安创建、网格化管理、安全生产、应急管理、人民武装等方面的服务工作:负责群众信访、矛盾纠纷调解、普法、预防未成年人违法犯罪等作;负责流动人口管理工作，管理指导基层网格员队伍等:协助</w:t>
      </w:r>
      <w:r>
        <w:rPr>
          <w:rFonts w:hint="eastAsia" w:ascii="仿宋_GB2312" w:hAnsi="仿宋_GB2312" w:eastAsia="仿宋_GB2312"/>
          <w:kern w:val="0"/>
          <w:sz w:val="32"/>
          <w:szCs w:val="24"/>
          <w:lang w:eastAsia="zh-CN"/>
        </w:rPr>
        <w:t>片区</w:t>
      </w:r>
      <w:r>
        <w:rPr>
          <w:rFonts w:hint="eastAsia" w:ascii="仿宋_GB2312" w:hAnsi="仿宋_GB2312" w:eastAsia="仿宋_GB2312"/>
          <w:kern w:val="0"/>
          <w:sz w:val="32"/>
          <w:szCs w:val="24"/>
        </w:rPr>
        <w:t>制定法治建设、平安创建、网格化管理、安全生产等工作的规划和年度计划并组织实施。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shd w:val="clear" w:color="auto" w:fill="FFFFFF"/>
        <w:autoSpaceDE w:val="0"/>
        <w:autoSpaceDN w:val="0"/>
        <w:adjustRightInd w:val="0"/>
        <w:spacing w:beforeLines="0" w:afterLines="0" w:line="360" w:lineRule="auto"/>
        <w:ind w:firstLine="640"/>
        <w:rPr>
          <w:rFonts w:hint="eastAsia" w:ascii="Times New Roman" w:hAnsi="Times New Roman" w:eastAsia="Times New Roman"/>
          <w:kern w:val="0"/>
          <w:sz w:val="32"/>
          <w:szCs w:val="32"/>
        </w:rPr>
      </w:pPr>
      <w:r>
        <w:rPr>
          <w:rFonts w:hint="eastAsia" w:ascii="仿宋_GB2312" w:hAnsi="Times New Roman" w:eastAsia="仿宋_GB2312" w:cs="仿宋_GB2312"/>
          <w:kern w:val="0"/>
          <w:sz w:val="32"/>
          <w:szCs w:val="32"/>
        </w:rPr>
        <w:t>乌鲁木齐高新技术产业开发区（乌鲁木齐市新市区）</w:t>
      </w:r>
      <w:r>
        <w:rPr>
          <w:rFonts w:hint="eastAsia" w:ascii="仿宋_GB2312" w:eastAsia="仿宋_GB2312" w:cs="仿宋_GB2312"/>
          <w:kern w:val="0"/>
          <w:sz w:val="32"/>
          <w:szCs w:val="32"/>
          <w:lang w:eastAsia="zh-CN"/>
        </w:rPr>
        <w:t>百园路片区管理委员会</w:t>
      </w:r>
      <w:r>
        <w:rPr>
          <w:rFonts w:hint="eastAsia"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lang w:val="en-US" w:eastAsia="zh-CN"/>
        </w:rPr>
        <w:t>2</w:t>
      </w:r>
      <w:r>
        <w:rPr>
          <w:rFonts w:hint="eastAsia" w:ascii="仿宋_GB2312" w:hAnsi="Times New Roman" w:eastAsia="仿宋_GB2312" w:cs="仿宋_GB2312"/>
          <w:kern w:val="0"/>
          <w:sz w:val="32"/>
          <w:szCs w:val="32"/>
        </w:rPr>
        <w:t>年度，实有人数</w:t>
      </w:r>
      <w:r>
        <w:rPr>
          <w:rFonts w:hint="eastAsia" w:ascii="仿宋_GB2312" w:hAnsi="Times New Roman" w:eastAsia="仿宋_GB2312" w:cs="仿宋_GB2312"/>
          <w:kern w:val="0"/>
          <w:sz w:val="32"/>
          <w:szCs w:val="32"/>
          <w:lang w:val="en-US" w:eastAsia="zh-CN"/>
        </w:rPr>
        <w:t>82</w:t>
      </w:r>
      <w:r>
        <w:rPr>
          <w:rFonts w:hint="eastAsia" w:ascii="仿宋_GB2312" w:hAnsi="Times New Roman" w:eastAsia="仿宋_GB2312" w:cs="仿宋_GB2312"/>
          <w:kern w:val="0"/>
          <w:sz w:val="32"/>
          <w:szCs w:val="32"/>
        </w:rPr>
        <w:t>人，其中：在职人员</w:t>
      </w:r>
      <w:r>
        <w:rPr>
          <w:rFonts w:hint="eastAsia" w:ascii="仿宋_GB2312" w:hAnsi="Times New Roman" w:eastAsia="仿宋_GB2312" w:cs="仿宋_GB2312"/>
          <w:kern w:val="0"/>
          <w:sz w:val="32"/>
          <w:szCs w:val="32"/>
          <w:lang w:val="en-US" w:eastAsia="zh-CN"/>
        </w:rPr>
        <w:t>82</w:t>
      </w:r>
      <w:r>
        <w:rPr>
          <w:rFonts w:hint="eastAsia" w:ascii="仿宋_GB2312" w:hAnsi="Times New Roman" w:eastAsia="仿宋_GB2312" w:cs="仿宋_GB2312"/>
          <w:kern w:val="0"/>
          <w:sz w:val="32"/>
          <w:szCs w:val="32"/>
        </w:rPr>
        <w:t>人，离休人员0人，退休人员0人。</w:t>
      </w:r>
    </w:p>
    <w:p>
      <w:pPr>
        <w:pStyle w:val="9"/>
        <w:rPr>
          <w:rFonts w:hint="eastAsia"/>
          <w:lang w:val="en-US" w:eastAsia="zh-CN"/>
        </w:rPr>
      </w:pPr>
      <w:r>
        <w:rPr>
          <w:rFonts w:hint="eastAsia" w:ascii="仿宋_GB2312" w:hAnsi="Times New Roman" w:eastAsia="仿宋_GB2312" w:cs="仿宋_GB2312"/>
          <w:kern w:val="0"/>
          <w:sz w:val="32"/>
          <w:szCs w:val="32"/>
        </w:rPr>
        <w:t>从部门决算单位构成看，乌鲁木齐高新技术产业开发区（乌鲁木齐市新市区）</w:t>
      </w:r>
      <w:r>
        <w:rPr>
          <w:rFonts w:hint="eastAsia" w:ascii="仿宋_GB2312" w:eastAsia="仿宋_GB2312" w:cs="仿宋_GB2312"/>
          <w:kern w:val="0"/>
          <w:sz w:val="32"/>
          <w:szCs w:val="32"/>
          <w:lang w:eastAsia="zh-CN"/>
        </w:rPr>
        <w:t>百园路片区管理委员会</w:t>
      </w:r>
      <w:r>
        <w:rPr>
          <w:rFonts w:hint="eastAsia" w:ascii="仿宋_GB2312" w:hAnsi="Times New Roman" w:eastAsia="仿宋_GB2312" w:cs="仿宋_GB2312"/>
          <w:kern w:val="0"/>
          <w:sz w:val="32"/>
          <w:szCs w:val="32"/>
        </w:rPr>
        <w:t>部门决算包括：乌鲁木齐高新技术产业开发区（乌鲁木齐市新市区）</w:t>
      </w:r>
      <w:r>
        <w:rPr>
          <w:rFonts w:hint="eastAsia" w:ascii="仿宋_GB2312" w:eastAsia="仿宋_GB2312" w:cs="仿宋_GB2312"/>
          <w:kern w:val="0"/>
          <w:sz w:val="32"/>
          <w:szCs w:val="32"/>
          <w:lang w:eastAsia="zh-CN"/>
        </w:rPr>
        <w:t>百园路片区管理委员会</w:t>
      </w:r>
      <w:r>
        <w:rPr>
          <w:rFonts w:hint="eastAsia" w:ascii="仿宋_GB2312" w:hAnsi="Times New Roman" w:eastAsia="仿宋_GB2312" w:cs="仿宋_GB2312"/>
          <w:kern w:val="0"/>
          <w:sz w:val="32"/>
          <w:szCs w:val="32"/>
          <w:lang w:val="zh-CN"/>
        </w:rPr>
        <w:t>决算。单位无下属预算单位，</w:t>
      </w:r>
      <w:r>
        <w:rPr>
          <w:rFonts w:hint="eastAsia" w:ascii="仿宋_GB2312" w:hAnsi="仿宋_GB2312" w:eastAsia="仿宋_GB2312" w:cs="仿宋_GB2312"/>
          <w:sz w:val="32"/>
          <w:szCs w:val="32"/>
        </w:rPr>
        <w:t>下设6个</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室。 6个</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室分别是：纪检监察办公室、综合协调办公室、党群服务中心、社会事务服务中心、防疫专员办公室、</w:t>
      </w:r>
      <w:r>
        <w:rPr>
          <w:rFonts w:hint="eastAsia" w:ascii="仿宋_GB2312" w:hAnsi="仿宋_GB2312" w:eastAsia="仿宋_GB2312" w:cs="仿宋_GB2312"/>
          <w:sz w:val="32"/>
          <w:szCs w:val="32"/>
          <w:lang w:eastAsia="zh-CN"/>
        </w:rPr>
        <w:t>治理</w:t>
      </w:r>
      <w:r>
        <w:rPr>
          <w:rFonts w:hint="eastAsia" w:ascii="仿宋_GB2312" w:hAnsi="仿宋_GB2312" w:eastAsia="仿宋_GB2312" w:cs="仿宋_GB2312"/>
          <w:sz w:val="32"/>
          <w:szCs w:val="32"/>
        </w:rPr>
        <w:t>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3092"/>
      <w:bookmarkStart w:id="7" w:name="_Toc29374"/>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2054.06万元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w:t>
      </w:r>
      <w:r>
        <w:rPr>
          <w:rFonts w:hint="eastAsia" w:ascii="仿宋_GB2312" w:eastAsia="仿宋_GB2312"/>
          <w:sz w:val="32"/>
          <w:szCs w:val="32"/>
          <w:highlight w:val="none"/>
        </w:rPr>
        <w:t>1922.04万元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rPr>
        <w:t>132.02万元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423.30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17.09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由于疫情原因，缩减预算，收入减少。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2054.06万元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rPr>
        <w:t>2003.32万元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rPr>
        <w:t>50.7</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423.30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17.09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疫情原因，部分资金未及时支付。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1922.04</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1921.84</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99.99</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0.2</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13201"/>
      <w:bookmarkStart w:id="13" w:name="_Toc2796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2003.32</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1587.39</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79.24</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415.93</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20.76</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4393"/>
      <w:bookmarkStart w:id="15" w:name="_Toc26564"/>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总计1937.11</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其中：年初财政拨款结转和结余15.27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财政拨款本年收入1921.84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374.41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16.20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由于疫情原因，缩减预算，收入减少。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总计1937.11</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其中：年末财政拨款结转和结余13.30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财政拨款本年支出1923.81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374.41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16.20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疫情原因，部分资金未及时支付</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1477.77</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1937.11</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31.08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主要原因是：疫情期间增加经费支出</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1477.77</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1937.11</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31.08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主要原因是：疫情期间增加经费支出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20360"/>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18" w:name="_Toc11146"/>
      <w:bookmarkStart w:id="19" w:name="_Toc30870"/>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hAnsi="Times New Roman" w:eastAsia="仿宋_GB2312"/>
          <w:kern w:val="0"/>
          <w:sz w:val="32"/>
          <w:lang w:val="en-US" w:eastAsia="zh-CN"/>
        </w:rPr>
        <w:t>1923.81</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96.03</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z w:val="32"/>
          <w:szCs w:val="32"/>
          <w:highlight w:val="none"/>
          <w:lang w:val="en-US" w:eastAsia="zh-CN"/>
        </w:rPr>
        <w:t>372.28</w:t>
      </w:r>
      <w:r>
        <w:rPr>
          <w:rFonts w:hint="eastAsia" w:ascii="仿宋_GB2312" w:eastAsia="仿宋_GB2312"/>
          <w:spacing w:val="0"/>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16.21</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lang w:eastAsia="zh-CN"/>
        </w:rPr>
        <w:t>疫情原因，缩减预算部分资金未及时支付</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sz w:val="30"/>
          <w:lang w:val="en-US" w:eastAsia="zh-CN"/>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支出（类）</w:t>
      </w:r>
      <w:r>
        <w:rPr>
          <w:rFonts w:hint="eastAsia" w:ascii="仿宋_GB2312" w:eastAsia="仿宋_GB2312"/>
          <w:spacing w:val="0"/>
          <w:sz w:val="32"/>
          <w:szCs w:val="32"/>
          <w:highlight w:val="none"/>
          <w:lang w:val="en-US" w:eastAsia="zh-CN"/>
        </w:rPr>
        <w:t>1513.39</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78.67</w:t>
      </w:r>
      <w:r>
        <w:rPr>
          <w:rFonts w:hint="eastAsia" w:ascii="仿宋_GB2312" w:hAnsi="仿宋_GB2312" w:eastAsia="仿宋_GB2312" w:cs="仿宋_GB2312"/>
          <w:kern w:val="0"/>
          <w:sz w:val="32"/>
          <w:szCs w:val="32"/>
          <w:highlight w:val="none"/>
        </w:rPr>
        <w:t>%。</w:t>
      </w:r>
    </w:p>
    <w:p>
      <w:pPr>
        <w:shd w:val="clear" w:color="auto" w:fill="FFFFFF"/>
        <w:tabs>
          <w:tab w:val="left" w:pos="631"/>
        </w:tabs>
        <w:autoSpaceDE w:val="0"/>
        <w:autoSpaceDN w:val="0"/>
        <w:adjustRightInd w:val="0"/>
        <w:spacing w:beforeLines="0" w:afterLines="0" w:line="360" w:lineRule="auto"/>
        <w:ind w:firstLine="640"/>
        <w:rPr>
          <w:rFonts w:hint="eastAsia" w:ascii="仿宋_GB2312" w:hAnsi="仿宋_GB2312" w:eastAsia="仿宋_GB2312" w:cs="仿宋_GB2312"/>
          <w:kern w:val="0"/>
          <w:sz w:val="32"/>
          <w:szCs w:val="32"/>
          <w:highlight w:val="none"/>
          <w:lang w:eastAsia="zh-CN"/>
        </w:rPr>
      </w:pPr>
      <w:r>
        <w:rPr>
          <w:rFonts w:hint="eastAsia" w:ascii="仿宋_GB2312" w:eastAsia="仿宋_GB2312"/>
          <w:kern w:val="0"/>
          <w:sz w:val="32"/>
          <w:lang w:val="en-US" w:eastAsia="zh-CN"/>
        </w:rPr>
        <w:t>2.公共安全支出</w:t>
      </w:r>
      <w:r>
        <w:rPr>
          <w:rFonts w:hint="eastAsia" w:ascii="仿宋_GB2312" w:hAnsi="仿宋_GB2312" w:eastAsia="仿宋_GB2312" w:cs="仿宋_GB2312"/>
          <w:sz w:val="32"/>
          <w:szCs w:val="32"/>
          <w:highlight w:val="none"/>
          <w:lang w:val="en-US" w:eastAsia="zh-CN"/>
        </w:rPr>
        <w:t>（类）</w:t>
      </w:r>
      <w:r>
        <w:rPr>
          <w:rFonts w:hint="eastAsia" w:ascii="仿宋_GB2312" w:hAnsi="Times New Roman" w:eastAsia="仿宋_GB2312"/>
          <w:kern w:val="0"/>
          <w:sz w:val="32"/>
          <w:lang w:val="en-US" w:eastAsia="zh-CN"/>
        </w:rPr>
        <w:t>26.48</w:t>
      </w:r>
      <w:r>
        <w:rPr>
          <w:rFonts w:hint="eastAsia" w:ascii="仿宋_GB2312" w:hAnsi="Times New Roman"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1.38</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p>
    <w:p>
      <w:pPr>
        <w:shd w:val="clear" w:color="auto" w:fill="FFFFFF"/>
        <w:tabs>
          <w:tab w:val="left" w:pos="631"/>
        </w:tabs>
        <w:autoSpaceDE w:val="0"/>
        <w:autoSpaceDN w:val="0"/>
        <w:adjustRightInd w:val="0"/>
        <w:spacing w:beforeLines="0" w:afterLines="0" w:line="360" w:lineRule="auto"/>
        <w:ind w:firstLine="640"/>
        <w:rPr>
          <w:rFonts w:hint="default"/>
          <w:lang w:val="en-US"/>
        </w:rPr>
      </w:pPr>
      <w:r>
        <w:rPr>
          <w:rFonts w:hint="eastAsia" w:ascii="仿宋_GB2312" w:eastAsia="仿宋_GB2312"/>
          <w:kern w:val="0"/>
          <w:sz w:val="32"/>
          <w:lang w:val="en-US" w:eastAsia="zh-CN"/>
        </w:rPr>
        <w:t>3.社会保障和就业支出</w:t>
      </w:r>
      <w:r>
        <w:rPr>
          <w:rFonts w:hint="eastAsia" w:ascii="仿宋_GB2312" w:hAnsi="仿宋_GB2312" w:eastAsia="仿宋_GB2312" w:cs="仿宋_GB2312"/>
          <w:sz w:val="32"/>
          <w:szCs w:val="32"/>
          <w:highlight w:val="none"/>
          <w:lang w:val="en-US" w:eastAsia="zh-CN"/>
        </w:rPr>
        <w:t>（类）</w:t>
      </w:r>
      <w:r>
        <w:rPr>
          <w:rFonts w:hint="eastAsia" w:ascii="仿宋_GB2312" w:eastAsia="仿宋_GB2312"/>
          <w:kern w:val="0"/>
          <w:sz w:val="32"/>
          <w:lang w:val="en-US" w:eastAsia="zh-CN"/>
        </w:rPr>
        <w:t>227.63万元，占</w:t>
      </w:r>
      <w:r>
        <w:rPr>
          <w:rFonts w:hint="eastAsia" w:ascii="仿宋_GB2312" w:eastAsia="仿宋_GB2312"/>
          <w:spacing w:val="0"/>
          <w:sz w:val="32"/>
          <w:szCs w:val="32"/>
          <w:highlight w:val="none"/>
          <w:lang w:val="en-US" w:eastAsia="zh-CN"/>
        </w:rPr>
        <w:t>11.83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仿宋_GB2312" w:hAnsi="仿宋_GB2312" w:eastAsia="仿宋_GB2312" w:cs="仿宋_GB2312"/>
          <w:kern w:val="0"/>
          <w:sz w:val="32"/>
          <w:szCs w:val="32"/>
          <w:highlight w:val="none"/>
          <w:lang w:eastAsia="zh-CN"/>
        </w:rPr>
      </w:pPr>
      <w:r>
        <w:rPr>
          <w:rFonts w:hint="eastAsia" w:ascii="仿宋_GB2312" w:eastAsia="仿宋_GB2312"/>
          <w:kern w:val="0"/>
          <w:sz w:val="32"/>
          <w:lang w:val="en-US" w:eastAsia="zh-CN"/>
        </w:rPr>
        <w:t>4.卫生健康支出</w:t>
      </w:r>
      <w:r>
        <w:rPr>
          <w:rFonts w:hint="eastAsia" w:ascii="仿宋_GB2312" w:hAnsi="仿宋_GB2312" w:eastAsia="仿宋_GB2312" w:cs="仿宋_GB2312"/>
          <w:sz w:val="32"/>
          <w:szCs w:val="32"/>
          <w:highlight w:val="none"/>
          <w:lang w:val="en-US" w:eastAsia="zh-CN"/>
        </w:rPr>
        <w:t>（类）</w:t>
      </w:r>
      <w:r>
        <w:rPr>
          <w:rFonts w:hint="eastAsia" w:ascii="仿宋_GB2312" w:eastAsia="仿宋_GB2312"/>
          <w:kern w:val="0"/>
          <w:sz w:val="32"/>
          <w:lang w:val="en-US" w:eastAsia="zh-CN"/>
        </w:rPr>
        <w:t>156.31万元，占</w:t>
      </w:r>
      <w:r>
        <w:rPr>
          <w:rFonts w:hint="eastAsia" w:ascii="仿宋_GB2312" w:eastAsia="仿宋_GB2312"/>
          <w:spacing w:val="0"/>
          <w:sz w:val="32"/>
          <w:szCs w:val="32"/>
          <w:highlight w:val="none"/>
          <w:lang w:val="en-US" w:eastAsia="zh-CN"/>
        </w:rPr>
        <w:t>8.13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lang w:val="en-US" w:eastAsia="zh-CN"/>
        </w:rPr>
        <w:t>一般公共服务支出（类)政府办公厅（室）及相关机构事务（款）行政运行（项）</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1487.3</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179.18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13.7</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本年新招入事业人员以及调入行政人员，导致本年工资福利支出较上年增加</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FF"/>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lang w:val="en-US" w:eastAsia="zh-CN"/>
        </w:rPr>
        <w:t>一般公共服务支出（类)政府办公厅（室）及相关机构事务（款）</w:t>
      </w:r>
      <w:r>
        <w:rPr>
          <w:rFonts w:hint="eastAsia" w:ascii="仿宋_GB2312" w:hAnsi="仿宋_GB2312" w:eastAsia="仿宋_GB2312" w:cs="仿宋_GB2312"/>
          <w:kern w:val="0"/>
          <w:sz w:val="32"/>
          <w:szCs w:val="32"/>
          <w:highlight w:val="none"/>
          <w:lang w:eastAsia="zh-CN"/>
        </w:rPr>
        <w:t>一般行政管理事务（</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22.11</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22.11</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新增</w:t>
      </w:r>
      <w:r>
        <w:rPr>
          <w:rFonts w:hint="eastAsia" w:ascii="仿宋_GB2312" w:hAnsi="仿宋_GB2312" w:eastAsia="仿宋_GB2312" w:cs="仿宋_GB2312"/>
          <w:color w:val="auto"/>
          <w:kern w:val="0"/>
          <w:sz w:val="32"/>
          <w:szCs w:val="32"/>
          <w:highlight w:val="none"/>
          <w:lang w:val="en-US" w:eastAsia="zh-CN"/>
        </w:rPr>
        <w:t>社区转聘人员工资福利支出。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lang w:val="en-US" w:eastAsia="zh-CN"/>
        </w:rPr>
        <w:t>一般公共服务支出（类)政府办公厅（室）及相关机构事务（款）</w:t>
      </w:r>
      <w:r>
        <w:rPr>
          <w:rFonts w:hint="eastAsia" w:ascii="仿宋_GB2312" w:hAnsi="仿宋_GB2312" w:eastAsia="仿宋_GB2312" w:cs="仿宋_GB2312"/>
          <w:kern w:val="0"/>
          <w:sz w:val="32"/>
          <w:szCs w:val="32"/>
          <w:highlight w:val="none"/>
          <w:lang w:eastAsia="zh-CN"/>
        </w:rPr>
        <w:t>其他</w:t>
      </w:r>
      <w:r>
        <w:rPr>
          <w:rFonts w:hint="eastAsia" w:ascii="仿宋_GB2312" w:hAnsi="仿宋_GB2312" w:eastAsia="仿宋_GB2312" w:cs="仿宋_GB2312"/>
          <w:kern w:val="0"/>
          <w:sz w:val="32"/>
          <w:szCs w:val="32"/>
          <w:highlight w:val="none"/>
        </w:rPr>
        <w:t>政府办公厅（室）及相关机构事务</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2.51</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4.01</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61.5</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因疫情原因项目减少，导致支出减少。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lang w:val="en-US" w:eastAsia="zh-CN"/>
        </w:rPr>
        <w:t>一般公共服务支出（类)</w:t>
      </w:r>
      <w:r>
        <w:rPr>
          <w:rFonts w:hint="eastAsia" w:ascii="仿宋_GB2312" w:hAnsi="仿宋_GB2312" w:eastAsia="仿宋_GB2312" w:cs="仿宋_GB2312"/>
          <w:kern w:val="0"/>
          <w:sz w:val="32"/>
          <w:szCs w:val="32"/>
          <w:highlight w:val="none"/>
          <w:lang w:val="en-US" w:eastAsia="zh-CN"/>
        </w:rPr>
        <w:t>纪检监察事务（款）其他纪检监察事务（项）：支出决算数1万元，比上年决算增加1万元，增长100%，主要原因是：本年增加基层办案和装备经费。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sz w:val="32"/>
          <w:szCs w:val="32"/>
          <w:highlight w:val="none"/>
          <w:lang w:val="en-US" w:eastAsia="zh-CN"/>
        </w:rPr>
        <w:t>一般公共服务支出（类)</w:t>
      </w:r>
      <w:r>
        <w:rPr>
          <w:rFonts w:hint="eastAsia" w:ascii="仿宋_GB2312" w:hAnsi="仿宋_GB2312" w:eastAsia="仿宋_GB2312" w:cs="仿宋_GB2312"/>
          <w:kern w:val="0"/>
          <w:sz w:val="32"/>
          <w:szCs w:val="32"/>
          <w:highlight w:val="none"/>
          <w:lang w:val="en-US" w:eastAsia="zh-CN"/>
        </w:rPr>
        <w:t>人大事务（类）其他人大事务支出（项 ）：支出决算数为0.46万元，比上年决算增加0.46万元，增长100%，主要原因是：本年新增人大工作经费。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一般公共服务支出（</w:t>
      </w:r>
      <w:r>
        <w:rPr>
          <w:rFonts w:hint="eastAsia" w:ascii="仿宋_GB2312" w:hAnsi="仿宋_GB2312" w:eastAsia="仿宋_GB2312" w:cs="仿宋_GB2312"/>
          <w:kern w:val="0"/>
          <w:sz w:val="32"/>
          <w:szCs w:val="32"/>
          <w:lang w:eastAsia="zh-CN"/>
        </w:rPr>
        <w:t>类</w:t>
      </w:r>
      <w:r>
        <w:rPr>
          <w:rFonts w:hint="eastAsia" w:ascii="仿宋_GB2312" w:hAnsi="仿宋_GB2312" w:eastAsia="仿宋_GB2312" w:cs="仿宋_GB2312"/>
          <w:kern w:val="0"/>
          <w:sz w:val="32"/>
          <w:szCs w:val="32"/>
        </w:rPr>
        <w:t>）其他一般公共服务支出</w:t>
      </w:r>
      <w:r>
        <w:rPr>
          <w:rFonts w:hint="eastAsia" w:ascii="仿宋_GB2312" w:hAnsi="仿宋_GB2312" w:eastAsia="仿宋_GB2312" w:cs="仿宋_GB2312"/>
          <w:kern w:val="0"/>
          <w:sz w:val="32"/>
          <w:szCs w:val="32"/>
          <w:lang w:eastAsia="zh-CN"/>
        </w:rPr>
        <w:t>（款）</w:t>
      </w:r>
      <w:r>
        <w:rPr>
          <w:rFonts w:hint="eastAsia" w:ascii="仿宋_GB2312" w:hAnsi="仿宋_GB2312" w:eastAsia="仿宋_GB2312" w:cs="仿宋_GB2312"/>
          <w:kern w:val="0"/>
          <w:sz w:val="32"/>
          <w:szCs w:val="32"/>
        </w:rPr>
        <w:t>其他一般公共服务支出（</w:t>
      </w:r>
      <w:r>
        <w:rPr>
          <w:rFonts w:hint="eastAsia" w:ascii="仿宋_GB2312" w:hAnsi="仿宋_GB2312" w:eastAsia="仿宋_GB2312" w:cs="仿宋_GB2312"/>
          <w:kern w:val="0"/>
          <w:sz w:val="32"/>
          <w:szCs w:val="32"/>
          <w:lang w:eastAsia="zh-CN"/>
        </w:rPr>
        <w:t>项</w:t>
      </w:r>
      <w:r>
        <w:rPr>
          <w:rFonts w:hint="eastAsia" w:ascii="仿宋_GB2312" w:hAnsi="仿宋_GB2312" w:eastAsia="仿宋_GB2312" w:cs="仿宋_GB2312"/>
          <w:kern w:val="0"/>
          <w:sz w:val="32"/>
          <w:szCs w:val="32"/>
        </w:rPr>
        <w:t>）:</w:t>
      </w:r>
      <w:r>
        <w:rPr>
          <w:rFonts w:hint="eastAsia" w:ascii="仿宋_GB2312" w:eastAsia="仿宋_GB2312"/>
          <w:sz w:val="32"/>
          <w:lang w:val="en-US" w:eastAsia="zh-CN"/>
        </w:rPr>
        <w:t>支出决算数为0万元，比上年减少支出19.84万元，下降100%，主要原因是：本年单位无此项支出。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eastAsia="仿宋_GB2312"/>
          <w:sz w:val="32"/>
          <w:lang w:val="en-US" w:eastAsia="zh-CN"/>
        </w:rPr>
        <w:t>7.</w:t>
      </w:r>
      <w:r>
        <w:rPr>
          <w:rFonts w:hint="eastAsia" w:ascii="仿宋_GB2312" w:eastAsia="仿宋_GB2312"/>
          <w:sz w:val="32"/>
        </w:rPr>
        <w:t>公共安全支出</w:t>
      </w:r>
      <w:r>
        <w:rPr>
          <w:rFonts w:hint="eastAsia" w:ascii="仿宋_GB2312" w:eastAsia="仿宋_GB2312"/>
          <w:sz w:val="32"/>
          <w:lang w:eastAsia="zh-CN"/>
        </w:rPr>
        <w:t>（类）其他公共安全支出（款）</w:t>
      </w:r>
      <w:r>
        <w:rPr>
          <w:rFonts w:hint="eastAsia" w:ascii="仿宋_GB2312" w:eastAsia="仿宋_GB2312"/>
          <w:sz w:val="32"/>
        </w:rPr>
        <w:t>其他公共安全支出</w:t>
      </w:r>
      <w:r>
        <w:rPr>
          <w:rFonts w:hint="eastAsia" w:ascii="仿宋_GB2312" w:eastAsia="仿宋_GB2312"/>
          <w:sz w:val="32"/>
          <w:lang w:eastAsia="zh-CN"/>
        </w:rPr>
        <w:t>（项</w:t>
      </w:r>
      <w:r>
        <w:rPr>
          <w:rFonts w:hint="eastAsia" w:ascii="仿宋_GB2312" w:eastAsia="仿宋_GB2312"/>
          <w:sz w:val="32"/>
          <w:lang w:val="en-US" w:eastAsia="zh-CN"/>
        </w:rPr>
        <w:t>）</w:t>
      </w:r>
      <w:r>
        <w:rPr>
          <w:rFonts w:hint="eastAsia" w:ascii="仿宋_GB2312" w:hAnsi="仿宋_GB2312" w:eastAsia="仿宋_GB2312" w:cs="仿宋_GB2312"/>
          <w:kern w:val="0"/>
          <w:sz w:val="32"/>
          <w:szCs w:val="32"/>
          <w:highlight w:val="none"/>
          <w:lang w:val="en-US" w:eastAsia="zh-CN"/>
        </w:rPr>
        <w:t>:支出决算数为26.48万元，比上年减少554.32万元，下降95.44%，主要原因是:非在编人员工资减少，导致支出减少。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文化旅游体育与传媒支出</w:t>
      </w:r>
      <w:r>
        <w:rPr>
          <w:rFonts w:hint="eastAsia" w:ascii="仿宋_GB2312" w:hAnsi="仿宋_GB2312" w:eastAsia="仿宋_GB2312" w:cs="仿宋_GB2312"/>
          <w:kern w:val="0"/>
          <w:sz w:val="32"/>
          <w:szCs w:val="32"/>
          <w:highlight w:val="none"/>
          <w:lang w:eastAsia="zh-CN"/>
        </w:rPr>
        <w:t>（款）</w:t>
      </w:r>
      <w:r>
        <w:rPr>
          <w:rFonts w:hint="eastAsia" w:ascii="仿宋_GB2312" w:hAnsi="仿宋_GB2312" w:eastAsia="仿宋_GB2312" w:cs="仿宋_GB2312"/>
          <w:kern w:val="0"/>
          <w:sz w:val="32"/>
          <w:szCs w:val="32"/>
          <w:highlight w:val="none"/>
        </w:rPr>
        <w:t>文化和旅游</w:t>
      </w:r>
      <w:r>
        <w:rPr>
          <w:rFonts w:hint="eastAsia" w:ascii="仿宋_GB2312" w:hAnsi="仿宋_GB2312" w:eastAsia="仿宋_GB2312" w:cs="仿宋_GB2312"/>
          <w:kern w:val="0"/>
          <w:sz w:val="32"/>
          <w:szCs w:val="32"/>
          <w:highlight w:val="none"/>
          <w:lang w:eastAsia="zh-CN"/>
        </w:rPr>
        <w:t>（项）</w:t>
      </w:r>
      <w:r>
        <w:rPr>
          <w:rFonts w:hint="eastAsia" w:ascii="仿宋_GB2312" w:hAnsi="仿宋_GB2312" w:eastAsia="仿宋_GB2312" w:cs="仿宋_GB2312"/>
          <w:kern w:val="0"/>
          <w:sz w:val="32"/>
          <w:szCs w:val="32"/>
          <w:highlight w:val="none"/>
        </w:rPr>
        <w:t>其他文化和旅游支出（</w:t>
      </w:r>
      <w:r>
        <w:rPr>
          <w:rFonts w:hint="eastAsia" w:ascii="仿宋_GB2312" w:hAnsi="仿宋_GB2312" w:eastAsia="仿宋_GB2312" w:cs="仿宋_GB2312"/>
          <w:kern w:val="0"/>
          <w:sz w:val="32"/>
          <w:szCs w:val="32"/>
          <w:highlight w:val="none"/>
          <w:lang w:eastAsia="zh-CN"/>
        </w:rPr>
        <w:t>项</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r>
        <w:rPr>
          <w:rFonts w:hint="eastAsia" w:ascii="仿宋_GB2312" w:eastAsia="仿宋_GB2312"/>
          <w:sz w:val="32"/>
          <w:lang w:val="en-US" w:eastAsia="zh-CN"/>
        </w:rPr>
        <w:t>支出决算数为0万元，比上年减少其他统战事务支出0.78万元，下降100%，主要原因是：本年单位无此项支出。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文化旅游体育与传媒支出</w:t>
      </w:r>
      <w:r>
        <w:rPr>
          <w:rFonts w:hint="eastAsia" w:ascii="仿宋_GB2312" w:hAnsi="仿宋_GB2312" w:eastAsia="仿宋_GB2312" w:cs="仿宋_GB2312"/>
          <w:kern w:val="0"/>
          <w:sz w:val="32"/>
          <w:szCs w:val="32"/>
          <w:highlight w:val="none"/>
          <w:lang w:eastAsia="zh-CN"/>
        </w:rPr>
        <w:t>（款）</w:t>
      </w:r>
      <w:r>
        <w:rPr>
          <w:rFonts w:hint="eastAsia" w:ascii="仿宋_GB2312" w:hAnsi="仿宋_GB2312" w:eastAsia="仿宋_GB2312" w:cs="仿宋_GB2312"/>
          <w:kern w:val="0"/>
          <w:sz w:val="32"/>
          <w:szCs w:val="32"/>
          <w:highlight w:val="none"/>
        </w:rPr>
        <w:t>其他文化旅游体育与传媒支出</w:t>
      </w:r>
      <w:r>
        <w:rPr>
          <w:rFonts w:hint="eastAsia" w:ascii="仿宋_GB2312" w:hAnsi="仿宋_GB2312" w:eastAsia="仿宋_GB2312" w:cs="仿宋_GB2312"/>
          <w:kern w:val="0"/>
          <w:sz w:val="32"/>
          <w:szCs w:val="32"/>
          <w:highlight w:val="none"/>
          <w:lang w:eastAsia="zh-CN"/>
        </w:rPr>
        <w:t>（项）</w:t>
      </w:r>
      <w:r>
        <w:rPr>
          <w:rFonts w:hint="eastAsia" w:ascii="仿宋_GB2312" w:hAnsi="仿宋_GB2312" w:eastAsia="仿宋_GB2312" w:cs="仿宋_GB2312"/>
          <w:kern w:val="0"/>
          <w:sz w:val="32"/>
          <w:szCs w:val="32"/>
          <w:highlight w:val="none"/>
        </w:rPr>
        <w:t>其他文化旅游体育与传媒支出（</w:t>
      </w:r>
      <w:r>
        <w:rPr>
          <w:rFonts w:hint="eastAsia" w:ascii="仿宋_GB2312" w:hAnsi="仿宋_GB2312" w:eastAsia="仿宋_GB2312" w:cs="仿宋_GB2312"/>
          <w:kern w:val="0"/>
          <w:sz w:val="32"/>
          <w:szCs w:val="32"/>
          <w:highlight w:val="none"/>
          <w:lang w:eastAsia="zh-CN"/>
        </w:rPr>
        <w:t>项</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r>
        <w:rPr>
          <w:rFonts w:hint="eastAsia" w:ascii="仿宋_GB2312" w:eastAsia="仿宋_GB2312"/>
          <w:sz w:val="32"/>
          <w:lang w:val="en-US" w:eastAsia="zh-CN"/>
        </w:rPr>
        <w:t>支出决算数为0万元，比上年减少其他统战事务支出5.00万元，下降100%，主要原因是：本年单位无此项支出。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10.</w:t>
      </w:r>
      <w:r>
        <w:rPr>
          <w:rFonts w:hint="eastAsia" w:ascii="仿宋_GB2312" w:eastAsia="仿宋_GB2312"/>
          <w:sz w:val="32"/>
          <w:lang w:eastAsia="zh-CN"/>
        </w:rPr>
        <w:t>社会保障和就业支出（类）民政管理事务（款）</w:t>
      </w:r>
      <w:r>
        <w:rPr>
          <w:rFonts w:hint="eastAsia" w:ascii="仿宋_GB2312" w:hAnsi="仿宋_GB2312" w:eastAsia="仿宋_GB2312" w:cs="仿宋_GB2312"/>
          <w:kern w:val="0"/>
          <w:sz w:val="32"/>
          <w:szCs w:val="32"/>
          <w:highlight w:val="none"/>
          <w:lang w:val="en-US" w:eastAsia="zh-CN"/>
        </w:rPr>
        <w:t>基层政权建设和社区治理（项）：支出决算数为109.43万元，比上年减少115.91万元，下降51.44%，主要原因是：因疫情原因社区工作经费支出减少，导致本年本项目支出减少。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w:t>
      </w:r>
      <w:r>
        <w:rPr>
          <w:rFonts w:hint="eastAsia" w:ascii="仿宋_GB2312" w:eastAsia="仿宋_GB2312"/>
          <w:sz w:val="32"/>
          <w:lang w:eastAsia="zh-CN"/>
        </w:rPr>
        <w:t>社会保障和就业支出（类）行政事业单位养老支出（款）</w:t>
      </w:r>
      <w:r>
        <w:rPr>
          <w:rFonts w:hint="eastAsia" w:ascii="仿宋_GB2312" w:hAnsi="仿宋_GB2312" w:eastAsia="仿宋_GB2312" w:cs="仿宋_GB2312"/>
          <w:kern w:val="0"/>
          <w:sz w:val="32"/>
          <w:szCs w:val="32"/>
          <w:highlight w:val="none"/>
          <w:lang w:val="en-US" w:eastAsia="zh-CN"/>
        </w:rPr>
        <w:t>机关事业单位基本养老保险缴费支出（项）:支出决算数95.53万元，比上年增加12.24万元，增长14.70%，主要原因是：本年增加新招入人员及调入人员以及社保基数本年增加，导致本年本项支出增加。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w:t>
      </w:r>
      <w:r>
        <w:rPr>
          <w:rFonts w:hint="eastAsia" w:ascii="仿宋_GB2312" w:eastAsia="仿宋_GB2312"/>
          <w:sz w:val="32"/>
          <w:lang w:eastAsia="zh-CN"/>
        </w:rPr>
        <w:t>社会保障和就业支出（类）行政事业单位养老支出（款）</w:t>
      </w:r>
      <w:r>
        <w:rPr>
          <w:rFonts w:hint="eastAsia" w:ascii="仿宋_GB2312" w:eastAsia="仿宋_GB2312"/>
          <w:sz w:val="32"/>
        </w:rPr>
        <w:t>机关事业单位职业年金缴费支出</w:t>
      </w:r>
      <w:r>
        <w:rPr>
          <w:rFonts w:hint="eastAsia" w:ascii="仿宋_GB2312" w:eastAsia="仿宋_GB2312"/>
          <w:sz w:val="32"/>
          <w:lang w:eastAsia="zh-CN"/>
        </w:rPr>
        <w:t>（项</w:t>
      </w:r>
      <w:r>
        <w:rPr>
          <w:rFonts w:hint="eastAsia" w:ascii="仿宋_GB2312" w:eastAsia="仿宋_GB2312"/>
          <w:sz w:val="32"/>
          <w:lang w:val="en-US" w:eastAsia="zh-CN"/>
        </w:rPr>
        <w:t>）</w:t>
      </w:r>
      <w:r>
        <w:rPr>
          <w:rFonts w:hint="eastAsia" w:ascii="仿宋_GB2312" w:hAnsi="仿宋_GB2312" w:eastAsia="仿宋_GB2312" w:cs="仿宋_GB2312"/>
          <w:kern w:val="0"/>
          <w:sz w:val="32"/>
          <w:szCs w:val="32"/>
          <w:highlight w:val="none"/>
          <w:lang w:val="en-US" w:eastAsia="zh-CN"/>
        </w:rPr>
        <w:t>:支出决算数3.44万元，比上年增加3.44万元，增加100%，主要原因是：本年新增一人退休，导致本年本项支出增加。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13.</w:t>
      </w:r>
      <w:r>
        <w:rPr>
          <w:rFonts w:hint="eastAsia" w:ascii="仿宋_GB2312" w:eastAsia="仿宋_GB2312"/>
          <w:sz w:val="32"/>
          <w:lang w:eastAsia="zh-CN"/>
        </w:rPr>
        <w:t>社会保障和就业支出（类）其他生活救助（款）</w:t>
      </w:r>
      <w:r>
        <w:rPr>
          <w:rFonts w:hint="eastAsia" w:ascii="仿宋_GB2312" w:hAnsi="仿宋_GB2312" w:eastAsia="仿宋_GB2312" w:cs="仿宋_GB2312"/>
          <w:kern w:val="0"/>
          <w:sz w:val="32"/>
          <w:szCs w:val="32"/>
          <w:highlight w:val="none"/>
          <w:lang w:val="en-US" w:eastAsia="zh-CN"/>
        </w:rPr>
        <w:t>其他生活救助支出（项）：支出决算数19.23万元，比上年增加19.23万元，增长100%，主要原因是：因疫情原因，给辖区困难人员发放困难救助。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14.</w:t>
      </w:r>
      <w:r>
        <w:rPr>
          <w:rFonts w:hint="eastAsia" w:ascii="仿宋_GB2312" w:eastAsia="仿宋_GB2312"/>
          <w:sz w:val="32"/>
          <w:lang w:val="en-US" w:eastAsia="zh-CN"/>
        </w:rPr>
        <w:t>卫生健康支出（类）公共卫生（款）突发公共卫生事件应急处理（项）</w:t>
      </w:r>
      <w:r>
        <w:rPr>
          <w:rFonts w:hint="eastAsia" w:ascii="仿宋_GB2312" w:hAnsi="仿宋_GB2312" w:eastAsia="仿宋_GB2312" w:cs="仿宋_GB2312"/>
          <w:kern w:val="0"/>
          <w:sz w:val="32"/>
          <w:szCs w:val="32"/>
          <w:highlight w:val="none"/>
          <w:lang w:val="en-US" w:eastAsia="zh-CN"/>
        </w:rPr>
        <w:t>：支出决算数155.2万元，比上年增加105.20万元，增长210.4%，主要原因是：疫情期间放舱隔离点费用增加，导致本年本项支出增加。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15.</w:t>
      </w:r>
      <w:r>
        <w:rPr>
          <w:rFonts w:hint="eastAsia" w:ascii="仿宋_GB2312" w:eastAsia="仿宋_GB2312"/>
          <w:sz w:val="32"/>
          <w:lang w:val="en-US" w:eastAsia="zh-CN"/>
        </w:rPr>
        <w:t>卫生健康支出（类）</w:t>
      </w:r>
      <w:r>
        <w:rPr>
          <w:rFonts w:hint="eastAsia" w:ascii="仿宋_GB2312" w:hAnsi="仿宋_GB2312" w:eastAsia="仿宋_GB2312" w:cs="仿宋_GB2312"/>
          <w:kern w:val="0"/>
          <w:sz w:val="32"/>
          <w:szCs w:val="32"/>
          <w:highlight w:val="none"/>
          <w:lang w:val="en-US" w:eastAsia="zh-CN"/>
        </w:rPr>
        <w:t>计划生育事务（款）其他计划生育事务（项）：支出决算数1.12万元，比上年减少15.28万元，下降93.17%，主要原因是：因疫情原因，导致本年本项目支出减少。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1587.39</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1559.90</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val="en-US" w:eastAsia="zh-CN"/>
        </w:rPr>
        <w:t>308.11万元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val="en-US" w:eastAsia="zh-CN"/>
        </w:rPr>
        <w:t>160.06万元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val="en-US" w:eastAsia="zh-CN"/>
        </w:rPr>
        <w:t>264.93万元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val="en-US" w:eastAsia="zh-CN"/>
        </w:rPr>
        <w:t>267.29万元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val="en-US" w:eastAsia="zh-CN"/>
        </w:rPr>
        <w:t>136.20万元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val="en-US" w:eastAsia="zh-CN"/>
        </w:rPr>
        <w:t>3.44万元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val="en-US" w:eastAsia="zh-CN"/>
        </w:rPr>
        <w:t>64.32万元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val="en-US" w:eastAsia="zh-CN"/>
        </w:rPr>
        <w:t>12.21万元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val="en-US" w:eastAsia="zh-CN"/>
        </w:rPr>
        <w:t>5.07万元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val="en-US" w:eastAsia="zh-CN"/>
        </w:rPr>
        <w:t>102.85万元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其他工资福利支出</w:t>
      </w:r>
      <w:r>
        <w:rPr>
          <w:rFonts w:hint="eastAsia" w:ascii="仿宋_GB2312" w:eastAsia="仿宋_GB2312"/>
          <w:sz w:val="32"/>
          <w:szCs w:val="32"/>
          <w:highlight w:val="none"/>
          <w:lang w:val="en-US" w:eastAsia="zh-CN"/>
        </w:rPr>
        <w:t>235.42万元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27.49</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val="en-US" w:eastAsia="zh-CN"/>
        </w:rPr>
        <w:t>1.35</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val="en-US" w:eastAsia="zh-CN"/>
        </w:rPr>
        <w:t xml:space="preserve">0.58 </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val="en-US" w:eastAsia="zh-CN"/>
        </w:rPr>
        <w:t>4.11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val="en-US" w:eastAsia="zh-CN"/>
        </w:rPr>
        <w:t>3.08</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val="en-US" w:eastAsia="zh-CN"/>
        </w:rPr>
        <w:t>2.24</w:t>
      </w:r>
      <w:r>
        <w:rPr>
          <w:rFonts w:hint="eastAsia" w:ascii="仿宋_GB2312" w:eastAsia="仿宋_GB2312"/>
          <w:sz w:val="32"/>
          <w:szCs w:val="32"/>
          <w:highlight w:val="none"/>
          <w:lang w:eastAsia="zh-CN"/>
        </w:rPr>
        <w:t>、维修（护）费</w:t>
      </w:r>
      <w:r>
        <w:rPr>
          <w:rFonts w:hint="eastAsia" w:ascii="仿宋_GB2312" w:eastAsia="仿宋_GB2312"/>
          <w:sz w:val="32"/>
          <w:szCs w:val="32"/>
          <w:highlight w:val="none"/>
          <w:lang w:val="en-US" w:eastAsia="zh-CN"/>
        </w:rPr>
        <w:t>0.03万元、培训费0.05万元、</w:t>
      </w:r>
      <w:r>
        <w:rPr>
          <w:rFonts w:hint="eastAsia" w:ascii="仿宋_GB2312" w:eastAsia="仿宋_GB2312"/>
          <w:sz w:val="32"/>
          <w:szCs w:val="32"/>
          <w:highlight w:val="none"/>
        </w:rPr>
        <w:t>工会经费</w:t>
      </w:r>
      <w:r>
        <w:rPr>
          <w:rFonts w:hint="eastAsia" w:ascii="仿宋_GB2312" w:eastAsia="仿宋_GB2312"/>
          <w:sz w:val="32"/>
          <w:szCs w:val="32"/>
          <w:highlight w:val="none"/>
          <w:lang w:val="en-US" w:eastAsia="zh-CN"/>
        </w:rPr>
        <w:t>11.78</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福利费</w:t>
      </w:r>
      <w:r>
        <w:rPr>
          <w:rFonts w:hint="eastAsia" w:ascii="仿宋_GB2312" w:eastAsia="仿宋_GB2312"/>
          <w:sz w:val="32"/>
          <w:szCs w:val="32"/>
          <w:highlight w:val="none"/>
          <w:lang w:val="en-US" w:eastAsia="zh-CN"/>
        </w:rPr>
        <w:t>1.18万元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val="en-US" w:eastAsia="zh-CN"/>
        </w:rPr>
        <w:t>3.09万元。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3.09</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0.51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14.17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主要原因是：疫情原因，部分经费未及时支出</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Times New Roman" w:eastAsia="仿宋_GB2312"/>
          <w:kern w:val="0"/>
          <w:sz w:val="32"/>
        </w:rPr>
        <w:t>本年单位无因公出国（境）费支出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3.09</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%，比上年减少</w:t>
      </w:r>
      <w:r>
        <w:rPr>
          <w:rFonts w:hint="eastAsia" w:ascii="仿宋_GB2312" w:eastAsia="仿宋_GB2312"/>
          <w:sz w:val="32"/>
          <w:szCs w:val="32"/>
          <w:highlight w:val="none"/>
          <w:lang w:val="en-US" w:eastAsia="zh-CN"/>
        </w:rPr>
        <w:t>0.51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14.17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主要原因是：疫情原因，部分经费未及时支出</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主要原因是：我单位无公务接待费支出</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hAnsi="Times New Roman" w:eastAsia="仿宋_GB2312"/>
          <w:kern w:val="0"/>
          <w:sz w:val="32"/>
        </w:rPr>
        <w:t>因公出国（境）费支出0.00万元，开支内容包括本年单位无因公出国（境）费支出。单位全年安排的因公出国（境）团组0个，因公出国（境）0人次。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3.09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3.09</w:t>
      </w:r>
      <w:r>
        <w:rPr>
          <w:rFonts w:hint="eastAsia" w:ascii="仿宋_GB2312" w:eastAsia="仿宋_GB2312"/>
          <w:sz w:val="32"/>
          <w:szCs w:val="32"/>
          <w:highlight w:val="none"/>
        </w:rPr>
        <w:t>万元。</w:t>
      </w:r>
      <w:r>
        <w:rPr>
          <w:rFonts w:hint="eastAsia" w:ascii="仿宋_GB2312" w:hAnsi="Times New Roman" w:eastAsia="仿宋_GB2312"/>
          <w:kern w:val="0"/>
          <w:sz w:val="32"/>
        </w:rPr>
        <w:t>公务用车运行维护费开支内容包括公务用车维修费</w:t>
      </w:r>
      <w:r>
        <w:rPr>
          <w:rFonts w:hint="eastAsia" w:ascii="仿宋_GB2312" w:hAnsi="Times New Roman" w:eastAsia="仿宋_GB2312"/>
          <w:kern w:val="0"/>
          <w:sz w:val="32"/>
          <w:lang w:val="en-US" w:eastAsia="zh-CN"/>
        </w:rPr>
        <w:t>2.11</w:t>
      </w:r>
      <w:r>
        <w:rPr>
          <w:rFonts w:hint="eastAsia" w:ascii="仿宋_GB2312" w:hAnsi="Times New Roman" w:eastAsia="仿宋_GB2312"/>
          <w:kern w:val="0"/>
          <w:sz w:val="32"/>
        </w:rPr>
        <w:t>万元、</w:t>
      </w:r>
      <w:r>
        <w:rPr>
          <w:rFonts w:hint="eastAsia" w:ascii="仿宋_GB2312" w:hAnsi="Times New Roman" w:eastAsia="仿宋_GB2312"/>
          <w:kern w:val="0"/>
          <w:sz w:val="32"/>
          <w:lang w:eastAsia="zh-CN"/>
        </w:rPr>
        <w:t>保险费</w:t>
      </w:r>
      <w:r>
        <w:rPr>
          <w:rFonts w:hint="eastAsia" w:ascii="仿宋_GB2312" w:hAnsi="Times New Roman" w:eastAsia="仿宋_GB2312"/>
          <w:kern w:val="0"/>
          <w:sz w:val="32"/>
          <w:lang w:val="en-US" w:eastAsia="zh-CN"/>
        </w:rPr>
        <w:t>0.98</w:t>
      </w:r>
      <w:r>
        <w:rPr>
          <w:rFonts w:hint="eastAsia" w:ascii="仿宋_GB2312" w:hAnsi="Times New Roman" w:eastAsia="仿宋_GB2312"/>
          <w:kern w:val="0"/>
          <w:sz w:val="32"/>
        </w:rPr>
        <w:t>万元</w:t>
      </w:r>
      <w:r>
        <w:rPr>
          <w:rFonts w:hint="eastAsia" w:ascii="仿宋_GB2312" w:eastAsia="仿宋_GB2312"/>
          <w:sz w:val="32"/>
          <w:szCs w:val="32"/>
          <w:highlight w:val="none"/>
        </w:rPr>
        <w:t>。</w:t>
      </w:r>
      <w:r>
        <w:rPr>
          <w:rFonts w:hint="eastAsia" w:ascii="仿宋_GB2312" w:hAnsi="Times New Roman" w:eastAsia="仿宋_GB2312"/>
          <w:kern w:val="0"/>
          <w:sz w:val="32"/>
        </w:rPr>
        <w:t>公务用车购置数0辆，公务用车保有量</w:t>
      </w:r>
      <w:r>
        <w:rPr>
          <w:rFonts w:hint="eastAsia" w:ascii="仿宋_GB2312" w:eastAsia="仿宋_GB2312"/>
          <w:kern w:val="0"/>
          <w:sz w:val="32"/>
          <w:lang w:val="en-US" w:eastAsia="zh-CN"/>
        </w:rPr>
        <w:t>11</w:t>
      </w:r>
      <w:r>
        <w:rPr>
          <w:rFonts w:hint="eastAsia" w:ascii="仿宋_GB2312" w:hAnsi="Times New Roman" w:eastAsia="仿宋_GB2312"/>
          <w:kern w:val="0"/>
          <w:sz w:val="32"/>
        </w:rPr>
        <w:t>辆</w:t>
      </w:r>
      <w:r>
        <w:rPr>
          <w:rFonts w:hint="eastAsia" w:ascii="仿宋_GB2312" w:eastAsia="仿宋_GB2312"/>
          <w:sz w:val="32"/>
          <w:szCs w:val="32"/>
          <w:highlight w:val="none"/>
        </w:rPr>
        <w:t>。</w:t>
      </w:r>
    </w:p>
    <w:p>
      <w:pPr>
        <w:shd w:val="clear" w:color="auto" w:fill="FFFFFF"/>
        <w:autoSpaceDE w:val="0"/>
        <w:autoSpaceDN w:val="0"/>
        <w:adjustRightInd w:val="0"/>
        <w:spacing w:beforeLines="0" w:afterLines="0" w:line="360" w:lineRule="auto"/>
        <w:ind w:firstLine="640"/>
        <w:rPr>
          <w:rFonts w:hint="eastAsia" w:ascii="Times New Roman" w:hAnsi="Times New Roman" w:eastAsia="Times New Roman"/>
          <w:kern w:val="0"/>
          <w:sz w:val="32"/>
        </w:rPr>
      </w:pPr>
      <w:r>
        <w:rPr>
          <w:rFonts w:hint="eastAsia" w:ascii="仿宋_GB2312" w:hAnsi="Times New Roman" w:eastAsia="仿宋_GB2312"/>
          <w:kern w:val="0"/>
          <w:sz w:val="32"/>
        </w:rPr>
        <w:t>公务接待费0.00万元，开支内容包括单位无此项支出。单位全年安排的国内公务接待0批次，0人次。</w:t>
      </w:r>
    </w:p>
    <w:p>
      <w:pPr>
        <w:shd w:val="clear" w:color="auto" w:fill="FFFFFF"/>
        <w:spacing w:beforeLines="0" w:afterLines="0" w:line="360" w:lineRule="auto"/>
        <w:ind w:firstLine="640"/>
        <w:rPr>
          <w:rFonts w:hint="default" w:eastAsia="Times New Roman"/>
          <w:kern w:val="0"/>
          <w:sz w:val="32"/>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3.09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3.09</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主要原因是：严格按照预算执行</w:t>
      </w:r>
      <w:r>
        <w:rPr>
          <w:rFonts w:hint="eastAsia" w:ascii="仿宋_GB2312" w:eastAsia="仿宋_GB2312"/>
          <w:sz w:val="32"/>
          <w:szCs w:val="32"/>
          <w:highlight w:val="none"/>
        </w:rPr>
        <w:t>。</w:t>
      </w:r>
      <w:r>
        <w:rPr>
          <w:rFonts w:hint="eastAsia" w:ascii="仿宋_GB2312" w:hAnsi="Times New Roman" w:eastAsia="仿宋_GB2312"/>
          <w:kern w:val="0"/>
          <w:sz w:val="32"/>
        </w:rPr>
        <w:t>其中：因公出国（境）费预算数0.00万元，决算数0.00万元，预决算差异率0.00%，主要原因是：本年单位无因公出国（境）费支出；公务用车购置费预算数0.00万元，决算数0.00万元，预决算差异率0.00%，主要原因是：</w:t>
      </w:r>
      <w:r>
        <w:rPr>
          <w:rFonts w:hint="eastAsia" w:ascii="仿宋_GB2312" w:hAnsi="仿宋_GB2312" w:eastAsia="仿宋_GB2312"/>
          <w:kern w:val="0"/>
          <w:sz w:val="32"/>
        </w:rPr>
        <w:t>本年未安排公务用车购置经费预算</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3.09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3.09</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主要原因是：严格按照预算执行</w:t>
      </w:r>
      <w:r>
        <w:rPr>
          <w:rFonts w:hint="eastAsia" w:ascii="仿宋_GB2312" w:eastAsia="仿宋_GB2312"/>
          <w:sz w:val="32"/>
          <w:szCs w:val="32"/>
          <w:highlight w:val="none"/>
        </w:rPr>
        <w:t>；</w:t>
      </w:r>
      <w:r>
        <w:rPr>
          <w:rFonts w:hint="eastAsia" w:ascii="仿宋_GB2312" w:hAnsi="Times New Roman" w:eastAsia="仿宋_GB2312"/>
          <w:kern w:val="0"/>
          <w:sz w:val="32"/>
        </w:rPr>
        <w:t>公务接待费预算数0.00万元，决算数0.00万元，预决算差异率0.00%，主要原因是：</w:t>
      </w:r>
      <w:r>
        <w:rPr>
          <w:rFonts w:hint="eastAsia" w:ascii="仿宋_GB2312" w:hAnsi="仿宋_GB2312" w:eastAsia="仿宋_GB2312"/>
          <w:kern w:val="0"/>
          <w:sz w:val="32"/>
        </w:rPr>
        <w:t>本年未安排公务接待费经费预算。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5810"/>
      <w:bookmarkStart w:id="23"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hAnsi="Times New Roman" w:eastAsia="仿宋_GB2312"/>
          <w:kern w:val="0"/>
          <w:sz w:val="32"/>
          <w:highlight w:val="none"/>
        </w:rPr>
        <w:t>202</w:t>
      </w:r>
      <w:r>
        <w:rPr>
          <w:rFonts w:hint="eastAsia" w:ascii="仿宋_GB2312" w:hAnsi="Times New Roman" w:eastAsia="仿宋_GB2312"/>
          <w:kern w:val="0"/>
          <w:sz w:val="32"/>
          <w:highlight w:val="none"/>
          <w:lang w:val="en-US" w:eastAsia="zh-CN"/>
        </w:rPr>
        <w:t>2</w:t>
      </w:r>
      <w:r>
        <w:rPr>
          <w:rFonts w:hint="eastAsia" w:ascii="仿宋_GB2312" w:hAnsi="Times New Roman" w:eastAsia="仿宋_GB2312"/>
          <w:kern w:val="0"/>
          <w:sz w:val="32"/>
          <w:highlight w:val="none"/>
        </w:rPr>
        <w:t>年度乌鲁木齐高新技术产业开发区（乌鲁木齐市新市区）</w:t>
      </w:r>
      <w:r>
        <w:rPr>
          <w:rFonts w:hint="eastAsia" w:ascii="仿宋_GB2312" w:eastAsia="仿宋_GB2312"/>
          <w:kern w:val="0"/>
          <w:sz w:val="32"/>
          <w:highlight w:val="none"/>
          <w:lang w:eastAsia="zh-CN"/>
        </w:rPr>
        <w:t>百园路片区管理委员会</w:t>
      </w:r>
      <w:r>
        <w:rPr>
          <w:rFonts w:hint="eastAsia" w:ascii="仿宋_GB2312" w:hAnsi="Times New Roman" w:eastAsia="仿宋_GB2312"/>
          <w:kern w:val="0"/>
          <w:sz w:val="32"/>
          <w:highlight w:val="none"/>
        </w:rPr>
        <w:t>单位</w:t>
      </w:r>
      <w:r>
        <w:rPr>
          <w:rFonts w:hint="eastAsia" w:ascii="仿宋_GB2312" w:eastAsia="仿宋_GB2312"/>
          <w:sz w:val="32"/>
          <w:szCs w:val="32"/>
          <w:highlight w:val="none"/>
        </w:rPr>
        <w:t>机关运行经费支出</w:t>
      </w:r>
      <w:r>
        <w:rPr>
          <w:rFonts w:hint="eastAsia" w:ascii="仿宋_GB2312" w:eastAsia="仿宋_GB2312"/>
          <w:sz w:val="32"/>
          <w:szCs w:val="32"/>
          <w:highlight w:val="none"/>
          <w:lang w:val="en-US" w:eastAsia="zh-CN"/>
        </w:rPr>
        <w:t>27.49</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24.02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46.63</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：财政紧张，预算缩减，疫情原因，部分资金未支付</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6704"/>
      <w:bookmarkStart w:id="29" w:name="_Toc227"/>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6.97</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1.16</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5.81</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6.97</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3.88</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55.67%。</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530.94万元，房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634.52</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215.74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86.85</w:t>
      </w:r>
      <w:r>
        <w:rPr>
          <w:rFonts w:hint="eastAsia" w:ascii="仿宋_GB2312" w:eastAsia="仿宋_GB2312"/>
          <w:sz w:val="32"/>
          <w:szCs w:val="32"/>
          <w:highlight w:val="none"/>
        </w:rPr>
        <w:t>万元，其中：</w:t>
      </w:r>
      <w:r>
        <w:rPr>
          <w:rFonts w:hint="eastAsia" w:ascii="仿宋_GB2312" w:hAnsi="Times New Roman" w:eastAsia="仿宋_GB2312"/>
          <w:kern w:val="0"/>
          <w:sz w:val="32"/>
        </w:rPr>
        <w:t>副部（省）级及以上领导用车0辆、主要领导干部用车0辆、机要通信用车0辆、应急保障用车0辆、执法执勤用车</w:t>
      </w:r>
      <w:r>
        <w:rPr>
          <w:rFonts w:hint="eastAsia" w:ascii="仿宋_GB2312" w:eastAsia="仿宋_GB2312"/>
          <w:kern w:val="0"/>
          <w:sz w:val="32"/>
          <w:lang w:val="en-US" w:eastAsia="zh-CN"/>
        </w:rPr>
        <w:t>11</w:t>
      </w:r>
      <w:r>
        <w:rPr>
          <w:rFonts w:hint="eastAsia" w:ascii="仿宋_GB2312" w:hAnsi="Times New Roman" w:eastAsia="仿宋_GB2312"/>
          <w:kern w:val="0"/>
          <w:sz w:val="32"/>
        </w:rPr>
        <w:t>辆、</w:t>
      </w:r>
      <w:r>
        <w:rPr>
          <w:rFonts w:hint="eastAsia" w:ascii="仿宋_GB2312" w:eastAsia="仿宋_GB2312"/>
          <w:sz w:val="32"/>
          <w:szCs w:val="32"/>
          <w:highlight w:val="none"/>
        </w:rPr>
        <w:t>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我单位无其他用车</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kern w:val="0"/>
          <w:sz w:val="32"/>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全年预算数976.70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全年执行数879.12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hAnsi="Times New Roman" w:eastAsia="仿宋_GB2312"/>
          <w:kern w:val="0"/>
          <w:sz w:val="32"/>
        </w:rPr>
        <w:t>预算绩效管理取得的成效：一是通过绩效管理，发现实施中存在漏洞，便于以后加强管理，及时掌握与之相关的各类信息，减少成本，使资金效益最大化；二是通过项目评价资料的进一步完善,项目启动时同步做好档案的归纳与整理，及时整理、收集、汇总，健全档案资料。发现的问题及原因：一是对各项指标和指标值要进一步优化、完善；二是现场评价的工作量少，后续效益评价具体措施和方法较少。缺少带着问题去评价的意识。下一步改进措施：一是对各项指标和指标值要进一步优化、完善，主要在细化、量化上改进；二是评价工作应从项目实施方案源头抓起，评价工作和意识应贯穿项目整个过程。</w:t>
      </w:r>
    </w:p>
    <w:p>
      <w:pPr>
        <w:ind w:firstLine="640" w:firstLineChars="200"/>
        <w:rPr>
          <w:rFonts w:hint="eastAsia" w:ascii="仿宋_GB2312" w:hAnsi="Times New Roman" w:eastAsia="仿宋_GB2312"/>
          <w:kern w:val="0"/>
          <w:sz w:val="32"/>
          <w:lang w:eastAsia="zh-CN"/>
        </w:rPr>
      </w:pPr>
      <w:r>
        <w:rPr>
          <w:rFonts w:hint="eastAsia" w:ascii="仿宋_GB2312" w:eastAsia="仿宋_GB2312"/>
          <w:kern w:val="0"/>
          <w:sz w:val="32"/>
          <w:lang w:eastAsia="zh-CN"/>
        </w:rPr>
        <w:t>具体项目自评情况附项目支出绩效自评表：</w:t>
      </w:r>
    </w:p>
    <w:p>
      <w:pPr>
        <w:rPr>
          <w:rFonts w:hint="eastAsia"/>
        </w:rPr>
      </w:pPr>
      <w:bookmarkStart w:id="54" w:name="_GoBack"/>
      <w:bookmarkEnd w:id="54"/>
    </w:p>
    <w:p>
      <w:pPr>
        <w:rPr>
          <w:rFonts w:hint="eastAsia"/>
        </w:rPr>
      </w:pPr>
    </w:p>
    <w:tbl>
      <w:tblPr>
        <w:tblStyle w:val="10"/>
        <w:tblW w:w="8400" w:type="dxa"/>
        <w:tblInd w:w="0" w:type="dxa"/>
        <w:tblLayout w:type="fixed"/>
        <w:tblCellMar>
          <w:top w:w="0" w:type="dxa"/>
          <w:left w:w="0" w:type="dxa"/>
          <w:bottom w:w="0" w:type="dxa"/>
          <w:right w:w="0" w:type="dxa"/>
        </w:tblCellMar>
      </w:tblPr>
      <w:tblGrid>
        <w:gridCol w:w="617"/>
        <w:gridCol w:w="618"/>
        <w:gridCol w:w="838"/>
        <w:gridCol w:w="618"/>
        <w:gridCol w:w="750"/>
        <w:gridCol w:w="617"/>
        <w:gridCol w:w="1281"/>
        <w:gridCol w:w="617"/>
        <w:gridCol w:w="339"/>
        <w:gridCol w:w="338"/>
        <w:gridCol w:w="339"/>
        <w:gridCol w:w="338"/>
        <w:gridCol w:w="339"/>
        <w:gridCol w:w="751"/>
      </w:tblGrid>
      <w:tr>
        <w:tblPrEx>
          <w:tblLayout w:type="fixed"/>
          <w:tblCellMar>
            <w:top w:w="0" w:type="dxa"/>
            <w:left w:w="0" w:type="dxa"/>
            <w:bottom w:w="0" w:type="dxa"/>
            <w:right w:w="0" w:type="dxa"/>
          </w:tblCellMar>
        </w:tblPrEx>
        <w:trPr>
          <w:trHeight w:val="340" w:hRule="atLeast"/>
        </w:trPr>
        <w:tc>
          <w:tcPr>
            <w:tcW w:w="840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项目支出绩效自评表</w:t>
            </w:r>
          </w:p>
        </w:tc>
      </w:tr>
      <w:tr>
        <w:tblPrEx>
          <w:tblLayout w:type="fixed"/>
          <w:tblCellMar>
            <w:top w:w="0" w:type="dxa"/>
            <w:left w:w="0" w:type="dxa"/>
            <w:bottom w:w="0" w:type="dxa"/>
            <w:right w:w="0" w:type="dxa"/>
          </w:tblCellMar>
        </w:tblPrEx>
        <w:trPr>
          <w:trHeight w:val="340" w:hRule="atLeast"/>
        </w:trPr>
        <w:tc>
          <w:tcPr>
            <w:tcW w:w="840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Layout w:type="fixed"/>
          <w:tblCellMar>
            <w:top w:w="0" w:type="dxa"/>
            <w:left w:w="0" w:type="dxa"/>
            <w:bottom w:w="0" w:type="dxa"/>
            <w:right w:w="0" w:type="dxa"/>
          </w:tblCellMar>
        </w:tblPrEx>
        <w:trPr>
          <w:trHeight w:val="340" w:hRule="atLeast"/>
        </w:trPr>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16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政务便捷工程奖补资金</w:t>
            </w:r>
          </w:p>
        </w:tc>
      </w:tr>
      <w:tr>
        <w:tblPrEx>
          <w:tblLayout w:type="fixed"/>
          <w:tblCellMar>
            <w:top w:w="0" w:type="dxa"/>
            <w:left w:w="0" w:type="dxa"/>
            <w:bottom w:w="0" w:type="dxa"/>
            <w:right w:w="0" w:type="dxa"/>
          </w:tblCellMar>
        </w:tblPrEx>
        <w:trPr>
          <w:trHeight w:val="340" w:hRule="atLeast"/>
        </w:trPr>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10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c>
          <w:tcPr>
            <w:tcW w:w="9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1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r>
      <w:tr>
        <w:tblPrEx>
          <w:tblLayout w:type="fixed"/>
          <w:tblCellMar>
            <w:top w:w="0" w:type="dxa"/>
            <w:left w:w="0" w:type="dxa"/>
            <w:bottom w:w="0" w:type="dxa"/>
            <w:right w:w="0" w:type="dxa"/>
          </w:tblCellMar>
        </w:tblPrEx>
        <w:trPr>
          <w:trHeight w:val="340" w:hRule="atLeast"/>
        </w:trPr>
        <w:tc>
          <w:tcPr>
            <w:tcW w:w="12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4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8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9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Layout w:type="fixed"/>
          <w:tblCellMar>
            <w:top w:w="0" w:type="dxa"/>
            <w:left w:w="0" w:type="dxa"/>
            <w:bottom w:w="0" w:type="dxa"/>
            <w:right w:w="0" w:type="dxa"/>
          </w:tblCellMar>
        </w:tblPrEx>
        <w:trPr>
          <w:trHeight w:val="340" w:hRule="atLeast"/>
        </w:trPr>
        <w:tc>
          <w:tcPr>
            <w:tcW w:w="12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18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9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1.91</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19.10%</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1.91分</w:t>
            </w:r>
          </w:p>
        </w:tc>
      </w:tr>
      <w:tr>
        <w:tblPrEx>
          <w:tblLayout w:type="fixed"/>
          <w:tblCellMar>
            <w:top w:w="0" w:type="dxa"/>
            <w:left w:w="0" w:type="dxa"/>
            <w:bottom w:w="0" w:type="dxa"/>
            <w:right w:w="0" w:type="dxa"/>
          </w:tblCellMar>
        </w:tblPrEx>
        <w:trPr>
          <w:trHeight w:val="340" w:hRule="atLeast"/>
        </w:trPr>
        <w:tc>
          <w:tcPr>
            <w:tcW w:w="12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8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1.91</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40" w:hRule="atLeast"/>
        </w:trPr>
        <w:tc>
          <w:tcPr>
            <w:tcW w:w="12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40" w:hRule="atLeast"/>
        </w:trPr>
        <w:tc>
          <w:tcPr>
            <w:tcW w:w="12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40" w:hRule="atLeast"/>
        </w:trPr>
        <w:tc>
          <w:tcPr>
            <w:tcW w:w="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72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06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Layout w:type="fixed"/>
          <w:tblCellMar>
            <w:top w:w="0" w:type="dxa"/>
            <w:left w:w="0" w:type="dxa"/>
            <w:bottom w:w="0" w:type="dxa"/>
            <w:right w:w="0" w:type="dxa"/>
          </w:tblCellMar>
        </w:tblPrEx>
        <w:trPr>
          <w:trHeight w:val="84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72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依据乌财行【2021】136号关于拨付民生十大实事之政务便捷工程奖补金的通知要求，我</w:t>
            </w:r>
            <w:r>
              <w:rPr>
                <w:rFonts w:hint="eastAsia" w:ascii="宋体" w:hAnsi="宋体" w:cs="宋体"/>
                <w:i w:val="0"/>
                <w:color w:val="000000"/>
                <w:kern w:val="0"/>
                <w:sz w:val="16"/>
                <w:szCs w:val="16"/>
                <w:u w:val="none"/>
                <w:lang w:val="en-US" w:eastAsia="zh-CN" w:bidi="ar"/>
              </w:rPr>
              <w:t>片区</w:t>
            </w:r>
            <w:r>
              <w:rPr>
                <w:rFonts w:hint="eastAsia" w:ascii="宋体" w:hAnsi="宋体" w:eastAsia="宋体" w:cs="宋体"/>
                <w:i w:val="0"/>
                <w:color w:val="000000"/>
                <w:kern w:val="0"/>
                <w:sz w:val="16"/>
                <w:szCs w:val="16"/>
                <w:u w:val="none"/>
                <w:lang w:val="en-US" w:eastAsia="zh-CN" w:bidi="ar"/>
              </w:rPr>
              <w:t>建设1个政务便捷示范点，拨付经费10万元，每个示范点每年平均经费10万元，通过项目实施，提升</w:t>
            </w:r>
            <w:r>
              <w:rPr>
                <w:rFonts w:hint="eastAsia" w:ascii="宋体" w:hAnsi="宋体" w:cs="宋体"/>
                <w:i w:val="0"/>
                <w:color w:val="000000"/>
                <w:kern w:val="0"/>
                <w:sz w:val="16"/>
                <w:szCs w:val="16"/>
                <w:u w:val="none"/>
                <w:lang w:val="en-US" w:eastAsia="zh-CN" w:bidi="ar"/>
              </w:rPr>
              <w:t>片区</w:t>
            </w:r>
            <w:r>
              <w:rPr>
                <w:rFonts w:hint="eastAsia" w:ascii="宋体" w:hAnsi="宋体" w:eastAsia="宋体" w:cs="宋体"/>
                <w:i w:val="0"/>
                <w:color w:val="000000"/>
                <w:kern w:val="0"/>
                <w:sz w:val="16"/>
                <w:szCs w:val="16"/>
                <w:u w:val="none"/>
                <w:lang w:val="en-US" w:eastAsia="zh-CN" w:bidi="ar"/>
              </w:rPr>
              <w:t>办事处及所辖社区政务服务便捷工程建设，建立集中办公场所，方便群众，提高办事效率。</w:t>
            </w:r>
          </w:p>
        </w:tc>
        <w:tc>
          <w:tcPr>
            <w:tcW w:w="306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w:t>
            </w:r>
            <w:r>
              <w:rPr>
                <w:rFonts w:hint="eastAsia" w:ascii="宋体" w:hAnsi="宋体" w:cs="宋体"/>
                <w:i w:val="0"/>
                <w:color w:val="000000"/>
                <w:kern w:val="0"/>
                <w:sz w:val="16"/>
                <w:szCs w:val="16"/>
                <w:u w:val="none"/>
                <w:lang w:val="en-US" w:eastAsia="zh-CN" w:bidi="ar"/>
              </w:rPr>
              <w:t>片区</w:t>
            </w:r>
            <w:r>
              <w:rPr>
                <w:rFonts w:hint="eastAsia" w:ascii="宋体" w:hAnsi="宋体" w:eastAsia="宋体" w:cs="宋体"/>
                <w:i w:val="0"/>
                <w:color w:val="000000"/>
                <w:kern w:val="0"/>
                <w:sz w:val="16"/>
                <w:szCs w:val="16"/>
                <w:u w:val="none"/>
                <w:lang w:val="en-US" w:eastAsia="zh-CN" w:bidi="ar"/>
              </w:rPr>
              <w:t>完成1个政务便捷示范点，完成拨付经费1.91万元，每个示范点每年平均经费1.91万元，因疫情原因，其余资金未发放。</w:t>
            </w:r>
          </w:p>
        </w:tc>
      </w:tr>
      <w:tr>
        <w:tblPrEx>
          <w:tblLayout w:type="fixed"/>
          <w:tblCellMar>
            <w:top w:w="0" w:type="dxa"/>
            <w:left w:w="0" w:type="dxa"/>
            <w:bottom w:w="0" w:type="dxa"/>
            <w:right w:w="0" w:type="dxa"/>
          </w:tblCellMar>
        </w:tblPrEx>
        <w:trPr>
          <w:trHeight w:val="200" w:hRule="atLeast"/>
        </w:trPr>
        <w:tc>
          <w:tcPr>
            <w:tcW w:w="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98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6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6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政务便捷示范点建设数量</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=1个</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1个</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经费保障率</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因疫情原因未发放资金</w:t>
            </w: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项目验收合格率</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资金支付及时率</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因疫情原因未发放资金</w:t>
            </w: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示范点平均经费</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&lt;=10万元/个</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1.91万元/个</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因疫情原因未发放资金</w:t>
            </w: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提供更多、更好的公共文化服务</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经费保障期限</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&gt;=1年</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1年</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受益群众满意度</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95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67.61分</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tbl>
      <w:tblPr>
        <w:tblStyle w:val="10"/>
        <w:tblW w:w="8565" w:type="dxa"/>
        <w:tblInd w:w="0" w:type="dxa"/>
        <w:tblLayout w:type="fixed"/>
        <w:tblCellMar>
          <w:top w:w="0" w:type="dxa"/>
          <w:left w:w="0" w:type="dxa"/>
          <w:bottom w:w="0" w:type="dxa"/>
          <w:right w:w="0" w:type="dxa"/>
        </w:tblCellMar>
      </w:tblPr>
      <w:tblGrid>
        <w:gridCol w:w="576"/>
        <w:gridCol w:w="576"/>
        <w:gridCol w:w="787"/>
        <w:gridCol w:w="742"/>
        <w:gridCol w:w="1017"/>
        <w:gridCol w:w="671"/>
        <w:gridCol w:w="1236"/>
        <w:gridCol w:w="625"/>
        <w:gridCol w:w="313"/>
        <w:gridCol w:w="325"/>
        <w:gridCol w:w="313"/>
        <w:gridCol w:w="345"/>
        <w:gridCol w:w="325"/>
        <w:gridCol w:w="714"/>
      </w:tblGrid>
      <w:tr>
        <w:tblPrEx>
          <w:tblLayout w:type="fixed"/>
          <w:tblCellMar>
            <w:top w:w="0" w:type="dxa"/>
            <w:left w:w="0" w:type="dxa"/>
            <w:bottom w:w="0" w:type="dxa"/>
            <w:right w:w="0" w:type="dxa"/>
          </w:tblCellMar>
        </w:tblPrEx>
        <w:trPr>
          <w:trHeight w:val="210" w:hRule="atLeast"/>
        </w:trPr>
        <w:tc>
          <w:tcPr>
            <w:tcW w:w="856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Layout w:type="fixed"/>
          <w:tblCellMar>
            <w:top w:w="0" w:type="dxa"/>
            <w:left w:w="0" w:type="dxa"/>
            <w:bottom w:w="0" w:type="dxa"/>
            <w:right w:w="0" w:type="dxa"/>
          </w:tblCellMar>
        </w:tblPrEx>
        <w:trPr>
          <w:trHeight w:val="396" w:hRule="atLeast"/>
        </w:trPr>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413"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疫情防控补助经费</w:t>
            </w:r>
          </w:p>
        </w:tc>
      </w:tr>
      <w:tr>
        <w:tblPrEx>
          <w:tblLayout w:type="fixed"/>
          <w:tblCellMar>
            <w:top w:w="0" w:type="dxa"/>
            <w:left w:w="0" w:type="dxa"/>
            <w:bottom w:w="0" w:type="dxa"/>
            <w:right w:w="0" w:type="dxa"/>
          </w:tblCellMar>
        </w:tblPrEx>
        <w:trPr>
          <w:trHeight w:val="396" w:hRule="atLeast"/>
        </w:trPr>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45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02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r>
      <w:tr>
        <w:tblPrEx>
          <w:tblLayout w:type="fixed"/>
          <w:tblCellMar>
            <w:top w:w="0" w:type="dxa"/>
            <w:left w:w="0" w:type="dxa"/>
            <w:bottom w:w="0" w:type="dxa"/>
            <w:right w:w="0" w:type="dxa"/>
          </w:tblCellMar>
        </w:tblPrEx>
        <w:trPr>
          <w:trHeight w:val="396" w:hRule="atLeast"/>
        </w:trPr>
        <w:tc>
          <w:tcPr>
            <w:tcW w:w="11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Layout w:type="fixed"/>
          <w:tblCellMar>
            <w:top w:w="0" w:type="dxa"/>
            <w:left w:w="0" w:type="dxa"/>
            <w:bottom w:w="0" w:type="dxa"/>
            <w:right w:w="0" w:type="dxa"/>
          </w:tblCellMar>
        </w:tblPrEx>
        <w:trPr>
          <w:trHeight w:val="396" w:hRule="atLeast"/>
        </w:trPr>
        <w:tc>
          <w:tcPr>
            <w:tcW w:w="11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232.06</w:t>
            </w: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188.11</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81.06%</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8.11分</w:t>
            </w:r>
          </w:p>
        </w:tc>
      </w:tr>
      <w:tr>
        <w:tblPrEx>
          <w:tblLayout w:type="fixed"/>
          <w:tblCellMar>
            <w:top w:w="0" w:type="dxa"/>
            <w:left w:w="0" w:type="dxa"/>
            <w:bottom w:w="0" w:type="dxa"/>
            <w:right w:w="0" w:type="dxa"/>
          </w:tblCellMar>
        </w:tblPrEx>
        <w:trPr>
          <w:trHeight w:val="396" w:hRule="atLeast"/>
        </w:trPr>
        <w:tc>
          <w:tcPr>
            <w:tcW w:w="11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232.06</w:t>
            </w: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188.11</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11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11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02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296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Layout w:type="fixed"/>
          <w:tblCellMar>
            <w:top w:w="0" w:type="dxa"/>
            <w:left w:w="0" w:type="dxa"/>
            <w:bottom w:w="0" w:type="dxa"/>
            <w:right w:w="0" w:type="dxa"/>
          </w:tblCellMar>
        </w:tblPrEx>
        <w:trPr>
          <w:trHeight w:val="396"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02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疫情防控补助经费万元，用于防疫人员工作经费77.5万元，伙食补助15万元，救助困难群众补助经费139.56万元，通过项目实施，保障疫情期间防控人员工作顺利开展，为持续做好全市因疫情影响导致基本生活困难人员的救助工作。</w:t>
            </w:r>
          </w:p>
        </w:tc>
        <w:tc>
          <w:tcPr>
            <w:tcW w:w="296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完成疫情防控补助经费188.11万元，用于防疫人员工作经费33.57万元，伙食补助15万元，救助困难群众补助经费139.54万元，通过项目实施，保障疫情期间防控人员工作顺利开展。</w:t>
            </w:r>
          </w:p>
        </w:tc>
      </w:tr>
      <w:tr>
        <w:tblPrEx>
          <w:tblLayout w:type="fixed"/>
          <w:tblCellMar>
            <w:top w:w="0" w:type="dxa"/>
            <w:left w:w="0" w:type="dxa"/>
            <w:bottom w:w="0" w:type="dxa"/>
            <w:right w:w="0" w:type="dxa"/>
          </w:tblCellMar>
        </w:tblPrEx>
        <w:trPr>
          <w:trHeight w:val="200"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43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63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43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救助困难人数</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=2287人</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465人</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防疫人员人数</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=330人</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330人</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经费保障率</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5.67</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因疫情原因部分资金未发放</w:t>
            </w: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资金拨付及时率</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5.67</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因疫情原因部分资金未发放</w:t>
            </w: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救助困难人员补助标准</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&lt;=300元/人</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300元/人</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防疫经费成本</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&lt;=2348.48元/人</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1017.27元/人</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3.47</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因疫情原因部分资金未发放</w:t>
            </w: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疫情伙食补助成本</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&lt;=454.55元/人</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454.55元/人</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提供社区服务，解决困难群众诉求</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项目持续发挥效益年限</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&lt;=1年</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1年</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4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救助困难群众满意度</w:t>
            </w:r>
          </w:p>
        </w:tc>
        <w:tc>
          <w:tcPr>
            <w:tcW w:w="1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2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6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86.14分</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tbl>
      <w:tblPr>
        <w:tblStyle w:val="10"/>
        <w:tblW w:w="8565" w:type="dxa"/>
        <w:tblInd w:w="0" w:type="dxa"/>
        <w:tblLayout w:type="fixed"/>
        <w:tblCellMar>
          <w:top w:w="0" w:type="dxa"/>
          <w:left w:w="0" w:type="dxa"/>
          <w:bottom w:w="0" w:type="dxa"/>
          <w:right w:w="0" w:type="dxa"/>
        </w:tblCellMar>
      </w:tblPr>
      <w:tblGrid>
        <w:gridCol w:w="538"/>
        <w:gridCol w:w="538"/>
        <w:gridCol w:w="741"/>
        <w:gridCol w:w="765"/>
        <w:gridCol w:w="1269"/>
        <w:gridCol w:w="716"/>
        <w:gridCol w:w="1139"/>
        <w:gridCol w:w="585"/>
        <w:gridCol w:w="292"/>
        <w:gridCol w:w="310"/>
        <w:gridCol w:w="307"/>
        <w:gridCol w:w="345"/>
        <w:gridCol w:w="324"/>
        <w:gridCol w:w="696"/>
      </w:tblGrid>
      <w:tr>
        <w:tblPrEx>
          <w:tblLayout w:type="fixed"/>
          <w:tblCellMar>
            <w:top w:w="0" w:type="dxa"/>
            <w:left w:w="0" w:type="dxa"/>
            <w:bottom w:w="0" w:type="dxa"/>
            <w:right w:w="0" w:type="dxa"/>
          </w:tblCellMar>
        </w:tblPrEx>
        <w:trPr>
          <w:trHeight w:val="210" w:hRule="atLeast"/>
        </w:trPr>
        <w:tc>
          <w:tcPr>
            <w:tcW w:w="856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项目支出绩效自评表</w:t>
            </w:r>
          </w:p>
        </w:tc>
      </w:tr>
      <w:tr>
        <w:tblPrEx>
          <w:tblLayout w:type="fixed"/>
          <w:tblCellMar>
            <w:top w:w="0" w:type="dxa"/>
            <w:left w:w="0" w:type="dxa"/>
            <w:bottom w:w="0" w:type="dxa"/>
            <w:right w:w="0" w:type="dxa"/>
          </w:tblCellMar>
        </w:tblPrEx>
        <w:trPr>
          <w:trHeight w:val="210" w:hRule="atLeast"/>
        </w:trPr>
        <w:tc>
          <w:tcPr>
            <w:tcW w:w="856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Layout w:type="fixed"/>
          <w:tblCellMar>
            <w:top w:w="0" w:type="dxa"/>
            <w:left w:w="0" w:type="dxa"/>
            <w:bottom w:w="0" w:type="dxa"/>
            <w:right w:w="0" w:type="dxa"/>
          </w:tblCellMar>
        </w:tblPrEx>
        <w:trPr>
          <w:trHeight w:val="396" w:hRule="atLeast"/>
        </w:trPr>
        <w:tc>
          <w:tcPr>
            <w:tcW w:w="10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489"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外运司、农科院、通安南“煤改电”运行补贴资金</w:t>
            </w:r>
          </w:p>
        </w:tc>
      </w:tr>
      <w:tr>
        <w:tblPrEx>
          <w:tblLayout w:type="fixed"/>
          <w:tblCellMar>
            <w:top w:w="0" w:type="dxa"/>
            <w:left w:w="0" w:type="dxa"/>
            <w:bottom w:w="0" w:type="dxa"/>
            <w:right w:w="0" w:type="dxa"/>
          </w:tblCellMar>
        </w:tblPrEx>
        <w:trPr>
          <w:trHeight w:val="396" w:hRule="atLeast"/>
        </w:trPr>
        <w:tc>
          <w:tcPr>
            <w:tcW w:w="10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63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198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r>
      <w:tr>
        <w:tblPrEx>
          <w:tblLayout w:type="fixed"/>
          <w:tblCellMar>
            <w:top w:w="0" w:type="dxa"/>
            <w:left w:w="0" w:type="dxa"/>
            <w:bottom w:w="0" w:type="dxa"/>
            <w:right w:w="0" w:type="dxa"/>
          </w:tblCellMar>
        </w:tblPrEx>
        <w:trPr>
          <w:trHeight w:val="396" w:hRule="atLeast"/>
        </w:trPr>
        <w:tc>
          <w:tcPr>
            <w:tcW w:w="107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Layout w:type="fixed"/>
          <w:tblCellMar>
            <w:top w:w="0" w:type="dxa"/>
            <w:left w:w="0" w:type="dxa"/>
            <w:bottom w:w="0" w:type="dxa"/>
            <w:right w:w="0" w:type="dxa"/>
          </w:tblCellMar>
        </w:tblPrEx>
        <w:trPr>
          <w:trHeight w:val="413" w:hRule="atLeast"/>
        </w:trPr>
        <w:tc>
          <w:tcPr>
            <w:tcW w:w="10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22.11</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22.11</w:t>
            </w:r>
          </w:p>
        </w:tc>
        <w:tc>
          <w:tcPr>
            <w:tcW w:w="6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10.00分</w:t>
            </w:r>
          </w:p>
        </w:tc>
      </w:tr>
      <w:tr>
        <w:tblPrEx>
          <w:tblLayout w:type="fixed"/>
          <w:tblCellMar>
            <w:top w:w="0" w:type="dxa"/>
            <w:left w:w="0" w:type="dxa"/>
            <w:bottom w:w="0" w:type="dxa"/>
            <w:right w:w="0" w:type="dxa"/>
          </w:tblCellMar>
        </w:tblPrEx>
        <w:trPr>
          <w:trHeight w:val="396" w:hRule="atLeast"/>
        </w:trPr>
        <w:tc>
          <w:tcPr>
            <w:tcW w:w="10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22.11</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22.11</w:t>
            </w:r>
          </w:p>
        </w:tc>
        <w:tc>
          <w:tcPr>
            <w:tcW w:w="6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10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10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5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16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285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Layout w:type="fixed"/>
          <w:tblCellMar>
            <w:top w:w="0" w:type="dxa"/>
            <w:left w:w="0" w:type="dxa"/>
            <w:bottom w:w="0" w:type="dxa"/>
            <w:right w:w="0" w:type="dxa"/>
          </w:tblCellMar>
        </w:tblPrEx>
        <w:trPr>
          <w:trHeight w:val="39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6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百园路</w:t>
            </w:r>
            <w:r>
              <w:rPr>
                <w:rFonts w:hint="eastAsia" w:ascii="宋体" w:hAnsi="宋体" w:cs="宋体"/>
                <w:i w:val="0"/>
                <w:color w:val="000000"/>
                <w:kern w:val="0"/>
                <w:sz w:val="16"/>
                <w:szCs w:val="16"/>
                <w:u w:val="none"/>
                <w:lang w:val="en-US" w:eastAsia="zh-CN" w:bidi="ar"/>
              </w:rPr>
              <w:t>片区</w:t>
            </w:r>
            <w:r>
              <w:rPr>
                <w:rFonts w:hint="eastAsia" w:ascii="宋体" w:hAnsi="宋体" w:eastAsia="宋体" w:cs="宋体"/>
                <w:i w:val="0"/>
                <w:color w:val="000000"/>
                <w:kern w:val="0"/>
                <w:sz w:val="16"/>
                <w:szCs w:val="16"/>
                <w:u w:val="none"/>
                <w:lang w:val="en-US" w:eastAsia="zh-CN" w:bidi="ar"/>
              </w:rPr>
              <w:t>通安南路社区开展“煤改电”工程，因开展项目时间处于冬季取暖期，需为辖区67户居民补贴使用电暖气电费，项目资金总额为22.11万元，按每户0.33万元标准发放补贴，确保</w:t>
            </w:r>
            <w:r>
              <w:rPr>
                <w:rFonts w:hint="eastAsia" w:ascii="宋体" w:hAnsi="宋体" w:cs="宋体"/>
                <w:i w:val="0"/>
                <w:color w:val="000000"/>
                <w:kern w:val="0"/>
                <w:sz w:val="16"/>
                <w:szCs w:val="16"/>
                <w:u w:val="none"/>
                <w:lang w:val="en-US" w:eastAsia="zh-CN" w:bidi="ar"/>
              </w:rPr>
              <w:t>片区</w:t>
            </w:r>
            <w:r>
              <w:rPr>
                <w:rFonts w:hint="eastAsia" w:ascii="宋体" w:hAnsi="宋体" w:eastAsia="宋体" w:cs="宋体"/>
                <w:i w:val="0"/>
                <w:color w:val="000000"/>
                <w:kern w:val="0"/>
                <w:sz w:val="16"/>
                <w:szCs w:val="16"/>
                <w:u w:val="none"/>
                <w:lang w:val="en-US" w:eastAsia="zh-CN" w:bidi="ar"/>
              </w:rPr>
              <w:t>“煤改电”工程顺利完成。</w:t>
            </w:r>
          </w:p>
        </w:tc>
        <w:tc>
          <w:tcPr>
            <w:tcW w:w="285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截至12月31日，本项目共计支出22.11万元，主要用于“煤改电”项目改造工程支出，为辖区101户居民补贴使用电暖气电费，确保了</w:t>
            </w:r>
            <w:r>
              <w:rPr>
                <w:rFonts w:hint="eastAsia" w:ascii="宋体" w:hAnsi="宋体" w:cs="宋体"/>
                <w:i w:val="0"/>
                <w:color w:val="000000"/>
                <w:kern w:val="0"/>
                <w:sz w:val="16"/>
                <w:szCs w:val="16"/>
                <w:u w:val="none"/>
                <w:lang w:val="en-US" w:eastAsia="zh-CN" w:bidi="ar"/>
              </w:rPr>
              <w:t>片区</w:t>
            </w:r>
            <w:r>
              <w:rPr>
                <w:rFonts w:hint="eastAsia" w:ascii="宋体" w:hAnsi="宋体" w:eastAsia="宋体" w:cs="宋体"/>
                <w:i w:val="0"/>
                <w:color w:val="000000"/>
                <w:kern w:val="0"/>
                <w:sz w:val="16"/>
                <w:szCs w:val="16"/>
                <w:u w:val="none"/>
                <w:lang w:val="en-US" w:eastAsia="zh-CN" w:bidi="ar"/>
              </w:rPr>
              <w:t>“煤改电”工程顺利完成。</w:t>
            </w:r>
          </w:p>
        </w:tc>
      </w:tr>
      <w:tr>
        <w:tblPrEx>
          <w:tblLayout w:type="fixed"/>
          <w:tblCellMar>
            <w:top w:w="0" w:type="dxa"/>
            <w:left w:w="0" w:type="dxa"/>
            <w:bottom w:w="0" w:type="dxa"/>
            <w:right w:w="0" w:type="dxa"/>
          </w:tblCellMar>
        </w:tblPrEx>
        <w:trPr>
          <w:trHeight w:val="200" w:hRule="atLeast"/>
        </w:trPr>
        <w:tc>
          <w:tcPr>
            <w:tcW w:w="5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7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7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60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7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5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补贴户数</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=67户</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67户</w:t>
            </w: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经费保障率</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资金支付及时率</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w:t>
            </w: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煤改电补贴标准</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&lt;=0.33万元/户</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0.33万元/户</w:t>
            </w: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持续维护辖区治安，服务辖区群众</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项目持续发挥效益年限</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&gt;=1年</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1年</w:t>
            </w: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7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受益群众满意度</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29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100.00分</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pStyle w:val="9"/>
      </w:pPr>
    </w:p>
    <w:p>
      <w:pPr>
        <w:pStyle w:val="9"/>
        <w:rPr>
          <w:rFonts w:hint="eastAsia"/>
        </w:rPr>
      </w:pPr>
    </w:p>
    <w:tbl>
      <w:tblPr>
        <w:tblStyle w:val="10"/>
        <w:tblW w:w="9405" w:type="dxa"/>
        <w:tblInd w:w="0" w:type="dxa"/>
        <w:tblLayout w:type="fixed"/>
        <w:tblCellMar>
          <w:top w:w="0" w:type="dxa"/>
          <w:left w:w="0" w:type="dxa"/>
          <w:bottom w:w="0" w:type="dxa"/>
          <w:right w:w="0" w:type="dxa"/>
        </w:tblCellMar>
      </w:tblPr>
      <w:tblGrid>
        <w:gridCol w:w="630"/>
        <w:gridCol w:w="630"/>
        <w:gridCol w:w="1110"/>
        <w:gridCol w:w="630"/>
        <w:gridCol w:w="900"/>
        <w:gridCol w:w="420"/>
        <w:gridCol w:w="1305"/>
        <w:gridCol w:w="1035"/>
        <w:gridCol w:w="345"/>
        <w:gridCol w:w="255"/>
        <w:gridCol w:w="255"/>
        <w:gridCol w:w="255"/>
        <w:gridCol w:w="255"/>
        <w:gridCol w:w="1380"/>
      </w:tblGrid>
      <w:tr>
        <w:tblPrEx>
          <w:tblLayout w:type="fixed"/>
          <w:tblCellMar>
            <w:top w:w="0" w:type="dxa"/>
            <w:left w:w="0" w:type="dxa"/>
            <w:bottom w:w="0" w:type="dxa"/>
            <w:right w:w="0" w:type="dxa"/>
          </w:tblCellMar>
        </w:tblPrEx>
        <w:trPr>
          <w:trHeight w:val="210" w:hRule="atLeast"/>
        </w:trPr>
        <w:tc>
          <w:tcPr>
            <w:tcW w:w="940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项目支出绩效自评表</w:t>
            </w:r>
          </w:p>
        </w:tc>
      </w:tr>
      <w:tr>
        <w:tblPrEx>
          <w:tblLayout w:type="fixed"/>
          <w:tblCellMar>
            <w:top w:w="0" w:type="dxa"/>
            <w:left w:w="0" w:type="dxa"/>
            <w:bottom w:w="0" w:type="dxa"/>
            <w:right w:w="0" w:type="dxa"/>
          </w:tblCellMar>
        </w:tblPrEx>
        <w:trPr>
          <w:trHeight w:val="210" w:hRule="atLeast"/>
        </w:trPr>
        <w:tc>
          <w:tcPr>
            <w:tcW w:w="940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Layout w:type="fixed"/>
          <w:tblCellMar>
            <w:top w:w="0" w:type="dxa"/>
            <w:left w:w="0" w:type="dxa"/>
            <w:bottom w:w="0" w:type="dxa"/>
            <w:right w:w="0" w:type="dxa"/>
          </w:tblCellMar>
        </w:tblPrEx>
        <w:trPr>
          <w:trHeight w:val="240" w:hRule="atLeast"/>
        </w:trPr>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4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社区工作经费及伙食补助</w:t>
            </w:r>
          </w:p>
        </w:tc>
      </w:tr>
      <w:tr>
        <w:tblPrEx>
          <w:tblLayout w:type="fixed"/>
          <w:tblCellMar>
            <w:top w:w="0" w:type="dxa"/>
            <w:left w:w="0" w:type="dxa"/>
            <w:bottom w:w="0" w:type="dxa"/>
            <w:right w:w="0" w:type="dxa"/>
          </w:tblCellMar>
        </w:tblPrEx>
        <w:trPr>
          <w:trHeight w:val="240" w:hRule="atLeast"/>
        </w:trPr>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3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4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r>
      <w:tr>
        <w:tblPrEx>
          <w:tblLayout w:type="fixed"/>
          <w:tblCellMar>
            <w:top w:w="0" w:type="dxa"/>
            <w:left w:w="0" w:type="dxa"/>
            <w:bottom w:w="0" w:type="dxa"/>
            <w:right w:w="0" w:type="dxa"/>
          </w:tblCellMar>
        </w:tblPrEx>
        <w:trPr>
          <w:trHeight w:val="240" w:hRule="atLeast"/>
        </w:trPr>
        <w:tc>
          <w:tcPr>
            <w:tcW w:w="12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7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Layout w:type="fixed"/>
          <w:tblCellMar>
            <w:top w:w="0" w:type="dxa"/>
            <w:left w:w="0" w:type="dxa"/>
            <w:bottom w:w="0" w:type="dxa"/>
            <w:right w:w="0" w:type="dxa"/>
          </w:tblCellMar>
        </w:tblPrEx>
        <w:trPr>
          <w:trHeight w:val="240"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7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126.98</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96.20</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75.76%</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7.58分</w:t>
            </w:r>
          </w:p>
        </w:tc>
      </w:tr>
      <w:tr>
        <w:tblPrEx>
          <w:tblLayout w:type="fixed"/>
          <w:tblCellMar>
            <w:top w:w="0" w:type="dxa"/>
            <w:left w:w="0" w:type="dxa"/>
            <w:bottom w:w="0" w:type="dxa"/>
            <w:right w:w="0" w:type="dxa"/>
          </w:tblCellMar>
        </w:tblPrEx>
        <w:trPr>
          <w:trHeight w:val="240"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7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126.98</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96.2</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240"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7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240"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7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24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9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78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Layout w:type="fixed"/>
          <w:tblCellMar>
            <w:top w:w="0" w:type="dxa"/>
            <w:left w:w="0" w:type="dxa"/>
            <w:bottom w:w="0" w:type="dxa"/>
            <w:right w:w="0"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保障各社区正常开展工作，按时按标准支付社区运行经费，我片区所辖4个社区，在册人数180人，保障6辆公务用车，2304.17平方米供暖，社区经费补助、伙食补助和基层人大补助经费共计126.98万元其中社区经费补助90万元，补助标准为每个社区每年22.5万元,伙食费35.48万元，补助标准每人每天15元；基层人大补助经费1万元；协税护费工作经费0.5万元；严格把控项目资金使用的合规性，及时上报资金的使用情况，通过该项目，更好地服务群众。</w:t>
            </w:r>
          </w:p>
        </w:tc>
        <w:tc>
          <w:tcPr>
            <w:tcW w:w="378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我辖区所属4个社区，在册人数184人，完成社区经费补助、伙食补助和基层人大补助经费共计96.20万元，其中社区经费补助73.50万元，伙食费22.24万元，基层人大补助经费0.46万元；项目完成情况良好。</w:t>
            </w:r>
          </w:p>
        </w:tc>
      </w:tr>
      <w:tr>
        <w:tblPrEx>
          <w:tblLayout w:type="fixed"/>
          <w:tblCellMar>
            <w:top w:w="0" w:type="dxa"/>
            <w:left w:w="0" w:type="dxa"/>
            <w:bottom w:w="0" w:type="dxa"/>
            <w:right w:w="0" w:type="dxa"/>
          </w:tblCellMar>
        </w:tblPrEx>
        <w:trPr>
          <w:trHeight w:val="20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1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9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6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1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供暖面积</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&gt;=2304.17平方米</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2304.17平方米</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社区数量</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=4个</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4个</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伙食补助人数</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&gt;=180人</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184人</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公务保障用车数量</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=6辆</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6辆</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经费保障率</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3.75</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因疫情原因未支付完成</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人员考核合格率</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资金支付及时率</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因疫情原因未支付完成</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社区运转经费年均成本</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&lt;=22.5万元/个</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18.38万元/个</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3.27</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因疫情原因未支付完成</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人均伙食补助标准</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&lt;=15元/天</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4.58元/天</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基层人大补助经费</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&lt;=1万元</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0.46万元</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因疫情原因未支付完成</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专项治理</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项目持续发挥效益年限</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&gt;=1年</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1年</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9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受益人员满意度</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66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89.66分</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tbl>
      <w:tblPr>
        <w:tblStyle w:val="10"/>
        <w:tblW w:w="9735" w:type="dxa"/>
        <w:tblInd w:w="0" w:type="dxa"/>
        <w:tblLayout w:type="fixed"/>
        <w:tblCellMar>
          <w:top w:w="0" w:type="dxa"/>
          <w:left w:w="0" w:type="dxa"/>
          <w:bottom w:w="0" w:type="dxa"/>
          <w:right w:w="0" w:type="dxa"/>
        </w:tblCellMar>
      </w:tblPr>
      <w:tblGrid>
        <w:gridCol w:w="630"/>
        <w:gridCol w:w="630"/>
        <w:gridCol w:w="855"/>
        <w:gridCol w:w="450"/>
        <w:gridCol w:w="180"/>
        <w:gridCol w:w="405"/>
        <w:gridCol w:w="360"/>
        <w:gridCol w:w="225"/>
        <w:gridCol w:w="405"/>
        <w:gridCol w:w="276"/>
        <w:gridCol w:w="1029"/>
        <w:gridCol w:w="180"/>
        <w:gridCol w:w="450"/>
        <w:gridCol w:w="345"/>
        <w:gridCol w:w="345"/>
        <w:gridCol w:w="225"/>
        <w:gridCol w:w="120"/>
        <w:gridCol w:w="150"/>
        <w:gridCol w:w="195"/>
        <w:gridCol w:w="75"/>
        <w:gridCol w:w="270"/>
        <w:gridCol w:w="345"/>
        <w:gridCol w:w="345"/>
        <w:gridCol w:w="75"/>
        <w:gridCol w:w="1170"/>
      </w:tblGrid>
      <w:tr>
        <w:tblPrEx>
          <w:tblLayout w:type="fixed"/>
          <w:tblCellMar>
            <w:top w:w="0" w:type="dxa"/>
            <w:left w:w="0" w:type="dxa"/>
            <w:bottom w:w="0" w:type="dxa"/>
            <w:right w:w="0" w:type="dxa"/>
          </w:tblCellMar>
        </w:tblPrEx>
        <w:trPr>
          <w:gridAfter w:val="1"/>
          <w:wAfter w:w="1170" w:type="dxa"/>
          <w:trHeight w:val="210" w:hRule="atLeast"/>
        </w:trPr>
        <w:tc>
          <w:tcPr>
            <w:tcW w:w="8565" w:type="dxa"/>
            <w:gridSpan w:val="2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项目支出绩效自评表</w:t>
            </w:r>
          </w:p>
        </w:tc>
      </w:tr>
      <w:tr>
        <w:tblPrEx>
          <w:tblLayout w:type="fixed"/>
          <w:tblCellMar>
            <w:top w:w="0" w:type="dxa"/>
            <w:left w:w="0" w:type="dxa"/>
            <w:bottom w:w="0" w:type="dxa"/>
            <w:right w:w="0" w:type="dxa"/>
          </w:tblCellMar>
        </w:tblPrEx>
        <w:trPr>
          <w:gridAfter w:val="1"/>
          <w:wAfter w:w="1170" w:type="dxa"/>
          <w:trHeight w:val="210" w:hRule="atLeast"/>
        </w:trPr>
        <w:tc>
          <w:tcPr>
            <w:tcW w:w="8565" w:type="dxa"/>
            <w:gridSpan w:val="2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Layout w:type="fixed"/>
          <w:tblCellMar>
            <w:top w:w="0" w:type="dxa"/>
            <w:left w:w="0" w:type="dxa"/>
            <w:bottom w:w="0" w:type="dxa"/>
            <w:right w:w="0" w:type="dxa"/>
          </w:tblCellMar>
        </w:tblPrEx>
        <w:trPr>
          <w:gridAfter w:val="1"/>
          <w:wAfter w:w="1170" w:type="dxa"/>
          <w:trHeight w:val="396" w:hRule="atLeast"/>
        </w:trPr>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305" w:type="dxa"/>
            <w:gridSpan w:val="2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纪检监察办案经费</w:t>
            </w:r>
          </w:p>
        </w:tc>
      </w:tr>
      <w:tr>
        <w:tblPrEx>
          <w:tblLayout w:type="fixed"/>
          <w:tblCellMar>
            <w:top w:w="0" w:type="dxa"/>
            <w:left w:w="0" w:type="dxa"/>
            <w:bottom w:w="0" w:type="dxa"/>
            <w:right w:w="0" w:type="dxa"/>
          </w:tblCellMar>
        </w:tblPrEx>
        <w:trPr>
          <w:gridAfter w:val="1"/>
          <w:wAfter w:w="1170" w:type="dxa"/>
          <w:trHeight w:val="396" w:hRule="atLeast"/>
        </w:trPr>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185"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c>
          <w:tcPr>
            <w:tcW w:w="9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14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r>
      <w:tr>
        <w:tblPrEx>
          <w:tblLayout w:type="fixed"/>
          <w:tblCellMar>
            <w:top w:w="0" w:type="dxa"/>
            <w:left w:w="0" w:type="dxa"/>
            <w:bottom w:w="0" w:type="dxa"/>
            <w:right w:w="0" w:type="dxa"/>
          </w:tblCellMar>
        </w:tblPrEx>
        <w:trPr>
          <w:gridAfter w:val="1"/>
          <w:wAfter w:w="1170" w:type="dxa"/>
          <w:trHeight w:val="396" w:hRule="atLeast"/>
        </w:trPr>
        <w:tc>
          <w:tcPr>
            <w:tcW w:w="12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4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9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9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7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Layout w:type="fixed"/>
          <w:tblCellMar>
            <w:top w:w="0" w:type="dxa"/>
            <w:left w:w="0" w:type="dxa"/>
            <w:bottom w:w="0" w:type="dxa"/>
            <w:right w:w="0" w:type="dxa"/>
          </w:tblCellMar>
        </w:tblPrEx>
        <w:trPr>
          <w:gridAfter w:val="1"/>
          <w:wAfter w:w="1170" w:type="dxa"/>
          <w:trHeight w:val="396"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9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7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10.00分</w:t>
            </w:r>
          </w:p>
        </w:tc>
      </w:tr>
      <w:tr>
        <w:tblPrEx>
          <w:tblLayout w:type="fixed"/>
          <w:tblCellMar>
            <w:top w:w="0" w:type="dxa"/>
            <w:left w:w="0" w:type="dxa"/>
            <w:bottom w:w="0" w:type="dxa"/>
            <w:right w:w="0" w:type="dxa"/>
          </w:tblCellMar>
        </w:tblPrEx>
        <w:trPr>
          <w:gridAfter w:val="1"/>
          <w:wAfter w:w="1170" w:type="dxa"/>
          <w:trHeight w:val="396"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9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gridAfter w:val="1"/>
          <w:wAfter w:w="1170" w:type="dxa"/>
          <w:trHeight w:val="396"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9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gridAfter w:val="1"/>
          <w:wAfter w:w="1170" w:type="dxa"/>
          <w:trHeight w:val="396"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9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gridAfter w:val="1"/>
          <w:wAfter w:w="1170" w:type="dxa"/>
          <w:trHeight w:val="396"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81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1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Layout w:type="fixed"/>
          <w:tblCellMar>
            <w:top w:w="0" w:type="dxa"/>
            <w:left w:w="0" w:type="dxa"/>
            <w:bottom w:w="0" w:type="dxa"/>
            <w:right w:w="0" w:type="dxa"/>
          </w:tblCellMar>
        </w:tblPrEx>
        <w:trPr>
          <w:gridAfter w:val="1"/>
          <w:wAfter w:w="1170" w:type="dxa"/>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81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为引导支持基层纪检监察部门开展业务，帮助提高基层办案和装备经费保障水平，更好的开展纪检监察业务，补助办案经费资金1万元。</w:t>
            </w:r>
          </w:p>
        </w:tc>
        <w:tc>
          <w:tcPr>
            <w:tcW w:w="31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截至12月31日，本项目共计支出1万元，主要用于装备费用3500元及专项办案费用6500元的支出，借以支持基层纪检临察部门开展业务，提高基层办案和装备经费保障水平，更好地开展纪检监察业务。</w:t>
            </w: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025"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3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6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6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1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25"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监督检查次数</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&gt;=24次</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24次</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查办案件数量</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&gt;=12个</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12个</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经费保障率</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装备配备合格率</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资金支付及时率</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办案经费</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&lt;=0.65万元</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0.65万元</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装备经费</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&lt;=0.35万元</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0.35万元</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专项治理</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结案率</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经费保障期限</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=1年</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1年</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0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投诉案件满意度</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gridAfter w:val="1"/>
          <w:wAfter w:w="1170" w:type="dxa"/>
          <w:trHeight w:val="240" w:hRule="atLeast"/>
        </w:trPr>
        <w:tc>
          <w:tcPr>
            <w:tcW w:w="6075"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100.00分</w:t>
            </w:r>
          </w:p>
        </w:tc>
        <w:tc>
          <w:tcPr>
            <w:tcW w:w="1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10" w:hRule="atLeast"/>
        </w:trPr>
        <w:tc>
          <w:tcPr>
            <w:tcW w:w="9735" w:type="dxa"/>
            <w:gridSpan w:val="2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项目支出绩效自评表</w:t>
            </w:r>
          </w:p>
        </w:tc>
      </w:tr>
      <w:tr>
        <w:tblPrEx>
          <w:tblLayout w:type="fixed"/>
          <w:tblCellMar>
            <w:top w:w="0" w:type="dxa"/>
            <w:left w:w="0" w:type="dxa"/>
            <w:bottom w:w="0" w:type="dxa"/>
            <w:right w:w="0" w:type="dxa"/>
          </w:tblCellMar>
        </w:tblPrEx>
        <w:trPr>
          <w:trHeight w:val="210" w:hRule="atLeast"/>
        </w:trPr>
        <w:tc>
          <w:tcPr>
            <w:tcW w:w="9735" w:type="dxa"/>
            <w:gridSpan w:val="2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Layout w:type="fixed"/>
          <w:tblCellMar>
            <w:top w:w="0" w:type="dxa"/>
            <w:left w:w="0" w:type="dxa"/>
            <w:bottom w:w="0" w:type="dxa"/>
            <w:right w:w="0" w:type="dxa"/>
          </w:tblCellMar>
        </w:tblPrEx>
        <w:trPr>
          <w:trHeight w:val="396" w:hRule="atLeast"/>
        </w:trPr>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475" w:type="dxa"/>
            <w:gridSpan w:val="2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便民服务站经费及人员补助经费</w:t>
            </w:r>
          </w:p>
        </w:tc>
      </w:tr>
      <w:tr>
        <w:tblPrEx>
          <w:tblLayout w:type="fixed"/>
          <w:tblCellMar>
            <w:top w:w="0" w:type="dxa"/>
            <w:left w:w="0" w:type="dxa"/>
            <w:bottom w:w="0" w:type="dxa"/>
            <w:right w:w="0" w:type="dxa"/>
          </w:tblCellMar>
        </w:tblPrEx>
        <w:trPr>
          <w:trHeight w:val="396" w:hRule="atLeast"/>
        </w:trPr>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36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c>
          <w:tcPr>
            <w:tcW w:w="163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47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r>
      <w:tr>
        <w:tblPrEx>
          <w:tblLayout w:type="fixed"/>
          <w:tblCellMar>
            <w:top w:w="0" w:type="dxa"/>
            <w:left w:w="0" w:type="dxa"/>
            <w:bottom w:w="0" w:type="dxa"/>
            <w:right w:w="0" w:type="dxa"/>
          </w:tblCellMar>
        </w:tblPrEx>
        <w:trPr>
          <w:trHeight w:val="396" w:hRule="atLeast"/>
        </w:trPr>
        <w:tc>
          <w:tcPr>
            <w:tcW w:w="12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63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Layout w:type="fixed"/>
          <w:tblCellMar>
            <w:top w:w="0" w:type="dxa"/>
            <w:left w:w="0" w:type="dxa"/>
            <w:bottom w:w="0" w:type="dxa"/>
            <w:right w:w="0" w:type="dxa"/>
          </w:tblCellMar>
        </w:tblPrEx>
        <w:trPr>
          <w:trHeight w:val="396"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5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577.35</w:t>
            </w:r>
          </w:p>
        </w:tc>
        <w:tc>
          <w:tcPr>
            <w:tcW w:w="163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569.79</w:t>
            </w: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98.69%</w:t>
            </w: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9.87分</w:t>
            </w:r>
          </w:p>
        </w:tc>
      </w:tr>
      <w:tr>
        <w:tblPrEx>
          <w:tblLayout w:type="fixed"/>
          <w:tblCellMar>
            <w:top w:w="0" w:type="dxa"/>
            <w:left w:w="0" w:type="dxa"/>
            <w:bottom w:w="0" w:type="dxa"/>
            <w:right w:w="0" w:type="dxa"/>
          </w:tblCellMar>
        </w:tblPrEx>
        <w:trPr>
          <w:trHeight w:val="396"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5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577.35</w:t>
            </w:r>
          </w:p>
        </w:tc>
        <w:tc>
          <w:tcPr>
            <w:tcW w:w="163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569.79</w:t>
            </w: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5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12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5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3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99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411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Layout w:type="fixed"/>
          <w:tblCellMar>
            <w:top w:w="0" w:type="dxa"/>
            <w:left w:w="0" w:type="dxa"/>
            <w:bottom w:w="0" w:type="dxa"/>
            <w:right w:w="0"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9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为保障辖区3个便民服务站工作正常运转，更好的服务居民，我辖区便民服务站保障3辆公务车，360平方米供暖,补助经费共计577.35万元,其中运行经费及伙食补助30万元，补助标准为每个站每年10万元，46名</w:t>
            </w:r>
            <w:r>
              <w:rPr>
                <w:rFonts w:hint="eastAsia" w:ascii="宋体" w:hAnsi="宋体" w:cs="宋体"/>
                <w:i w:val="0"/>
                <w:color w:val="000000"/>
                <w:kern w:val="0"/>
                <w:sz w:val="16"/>
                <w:szCs w:val="16"/>
                <w:u w:val="none"/>
                <w:lang w:val="en-US" w:eastAsia="zh-CN" w:bidi="ar"/>
              </w:rPr>
              <w:t>非在编人员</w:t>
            </w:r>
            <w:r>
              <w:rPr>
                <w:rFonts w:hint="eastAsia" w:ascii="宋体" w:hAnsi="宋体" w:eastAsia="宋体" w:cs="宋体"/>
                <w:i w:val="0"/>
                <w:color w:val="000000"/>
                <w:kern w:val="0"/>
                <w:sz w:val="16"/>
                <w:szCs w:val="16"/>
                <w:u w:val="none"/>
                <w:lang w:val="en-US" w:eastAsia="zh-CN" w:bidi="ar"/>
              </w:rPr>
              <w:t>工资社保256.38万元，补助标准为每人每年5.57万元；72名</w:t>
            </w:r>
            <w:r>
              <w:rPr>
                <w:rFonts w:hint="eastAsia" w:ascii="宋体" w:hAnsi="宋体" w:cs="宋体"/>
                <w:i w:val="0"/>
                <w:color w:val="000000"/>
                <w:kern w:val="0"/>
                <w:sz w:val="16"/>
                <w:szCs w:val="16"/>
                <w:u w:val="none"/>
                <w:lang w:val="en-US" w:eastAsia="zh-CN" w:bidi="ar"/>
              </w:rPr>
              <w:t>非在编人员</w:t>
            </w:r>
            <w:r>
              <w:rPr>
                <w:rFonts w:hint="eastAsia" w:ascii="宋体" w:hAnsi="宋体" w:eastAsia="宋体" w:cs="宋体"/>
                <w:i w:val="0"/>
                <w:color w:val="000000"/>
                <w:kern w:val="0"/>
                <w:sz w:val="16"/>
                <w:szCs w:val="16"/>
                <w:u w:val="none"/>
                <w:lang w:val="en-US" w:eastAsia="zh-CN" w:bidi="ar"/>
              </w:rPr>
              <w:t>工资绩效社保290.97万元，补助标准为每人每年4.04万元。通过项目的实施，保障百园路片区管委会的工作正常开展，有效解决辖区居民困难，更好地服务群众。</w:t>
            </w:r>
          </w:p>
        </w:tc>
        <w:tc>
          <w:tcPr>
            <w:tcW w:w="411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截至12月31日，本项目共计支出569.79万元，主要用于保障片区管委会及辖区3个便民</w:t>
            </w:r>
            <w:r>
              <w:rPr>
                <w:rFonts w:hint="eastAsia" w:ascii="宋体" w:hAnsi="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t>站的工作正常开展，保障便民服务站人员、车辆正常运行，其中，便民</w:t>
            </w:r>
            <w:r>
              <w:rPr>
                <w:rFonts w:hint="eastAsia" w:ascii="宋体" w:hAnsi="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t>站经费及伙食费支出26.48万元，</w:t>
            </w:r>
            <w:r>
              <w:rPr>
                <w:rFonts w:hint="eastAsia" w:ascii="宋体" w:hAnsi="宋体" w:cs="宋体"/>
                <w:i w:val="0"/>
                <w:color w:val="000000"/>
                <w:kern w:val="0"/>
                <w:sz w:val="16"/>
                <w:szCs w:val="16"/>
                <w:u w:val="none"/>
                <w:lang w:val="en-US" w:eastAsia="zh-CN" w:bidi="ar"/>
              </w:rPr>
              <w:t>非在编人员</w:t>
            </w:r>
            <w:r>
              <w:rPr>
                <w:rFonts w:hint="eastAsia" w:ascii="宋体" w:hAnsi="宋体" w:eastAsia="宋体" w:cs="宋体"/>
                <w:i w:val="0"/>
                <w:color w:val="000000"/>
                <w:kern w:val="0"/>
                <w:sz w:val="16"/>
                <w:szCs w:val="16"/>
                <w:u w:val="none"/>
                <w:lang w:val="en-US" w:eastAsia="zh-CN" w:bidi="ar"/>
              </w:rPr>
              <w:t>经费支出252.34万元，</w:t>
            </w:r>
            <w:r>
              <w:rPr>
                <w:rFonts w:hint="eastAsia" w:ascii="宋体" w:hAnsi="宋体" w:cs="宋体"/>
                <w:i w:val="0"/>
                <w:color w:val="000000"/>
                <w:kern w:val="0"/>
                <w:sz w:val="16"/>
                <w:szCs w:val="16"/>
                <w:u w:val="none"/>
                <w:lang w:val="en-US" w:eastAsia="zh-CN" w:bidi="ar"/>
              </w:rPr>
              <w:t>非在编人员</w:t>
            </w:r>
            <w:r>
              <w:rPr>
                <w:rFonts w:hint="eastAsia" w:ascii="宋体" w:hAnsi="宋体" w:eastAsia="宋体" w:cs="宋体"/>
                <w:i w:val="0"/>
                <w:color w:val="000000"/>
                <w:kern w:val="0"/>
                <w:sz w:val="16"/>
                <w:szCs w:val="16"/>
                <w:u w:val="none"/>
                <w:lang w:val="en-US" w:eastAsia="zh-CN" w:bidi="ar"/>
              </w:rPr>
              <w:t>经费支出290.97万元，有效解决辖区居民困难，更好地服务群众。</w:t>
            </w:r>
          </w:p>
        </w:tc>
      </w:tr>
      <w:tr>
        <w:tblPrEx>
          <w:tblLayout w:type="fixed"/>
          <w:tblCellMar>
            <w:top w:w="0" w:type="dxa"/>
            <w:left w:w="0" w:type="dxa"/>
            <w:bottom w:w="0" w:type="dxa"/>
            <w:right w:w="0" w:type="dxa"/>
          </w:tblCellMar>
        </w:tblPrEx>
        <w:trPr>
          <w:trHeight w:val="20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3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851"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0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36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54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59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851"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6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9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便民服务站数量</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供暖面积</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&gt;=360平方米</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360平方米</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公务保障用车数量</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=3辆</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3辆</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非在编人员</w:t>
            </w:r>
            <w:r>
              <w:rPr>
                <w:rFonts w:hint="eastAsia" w:ascii="宋体" w:hAnsi="宋体" w:eastAsia="宋体" w:cs="宋体"/>
                <w:i w:val="0"/>
                <w:color w:val="000000"/>
                <w:kern w:val="0"/>
                <w:sz w:val="16"/>
                <w:szCs w:val="16"/>
                <w:u w:val="none"/>
                <w:lang w:val="en-US" w:eastAsia="zh-CN" w:bidi="ar"/>
              </w:rPr>
              <w:t>人数</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=46人</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46人</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非在编人员</w:t>
            </w:r>
            <w:r>
              <w:rPr>
                <w:rFonts w:hint="eastAsia" w:ascii="宋体" w:hAnsi="宋体" w:eastAsia="宋体" w:cs="宋体"/>
                <w:i w:val="0"/>
                <w:color w:val="000000"/>
                <w:kern w:val="0"/>
                <w:sz w:val="16"/>
                <w:szCs w:val="16"/>
                <w:u w:val="none"/>
                <w:lang w:val="en-US" w:eastAsia="zh-CN" w:bidi="ar"/>
              </w:rPr>
              <w:t>人数</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=72人</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63人</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经费保障率</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人员调整，经费减少</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人员考核合格率</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资金支付及时率</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人员调整，经费减少</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2021年12月31日</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年均经费补助标准</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&lt;=10万元/个</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10.56万元/个</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人员调整，经费减少</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非在编人员</w:t>
            </w:r>
            <w:r>
              <w:rPr>
                <w:rFonts w:hint="eastAsia" w:ascii="宋体" w:hAnsi="宋体" w:eastAsia="宋体" w:cs="宋体"/>
                <w:i w:val="0"/>
                <w:color w:val="000000"/>
                <w:kern w:val="0"/>
                <w:sz w:val="16"/>
                <w:szCs w:val="16"/>
                <w:u w:val="none"/>
                <w:lang w:val="en-US" w:eastAsia="zh-CN" w:bidi="ar"/>
              </w:rPr>
              <w:t>人均补助标准</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&lt;=5.57万元/年</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5.49万元/年</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4.93</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人员调整，经费减少</w:t>
            </w: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非在编人员</w:t>
            </w:r>
            <w:r>
              <w:rPr>
                <w:rFonts w:hint="eastAsia" w:ascii="宋体" w:hAnsi="宋体" w:eastAsia="宋体" w:cs="宋体"/>
                <w:i w:val="0"/>
                <w:color w:val="000000"/>
                <w:kern w:val="0"/>
                <w:sz w:val="16"/>
                <w:szCs w:val="16"/>
                <w:u w:val="none"/>
                <w:lang w:val="en-US" w:eastAsia="zh-CN" w:bidi="ar"/>
              </w:rPr>
              <w:t>人均补助标准</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&lt;=4.04万元/年</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4.54万元/年</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有效解决居民困难</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项目持续发挥效益年限</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&gt;=1年</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1年</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509"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8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受益人员满意度</w:t>
            </w:r>
          </w:p>
        </w:tc>
        <w:tc>
          <w:tcPr>
            <w:tcW w:w="12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136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6990"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54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99.30分</w:t>
            </w:r>
          </w:p>
        </w:tc>
        <w:tc>
          <w:tcPr>
            <w:tcW w:w="15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tbl>
      <w:tblPr>
        <w:tblStyle w:val="10"/>
        <w:tblW w:w="9660" w:type="dxa"/>
        <w:tblInd w:w="0" w:type="dxa"/>
        <w:tblLayout w:type="fixed"/>
        <w:tblCellMar>
          <w:top w:w="0" w:type="dxa"/>
          <w:left w:w="0" w:type="dxa"/>
          <w:bottom w:w="0" w:type="dxa"/>
          <w:right w:w="0" w:type="dxa"/>
        </w:tblCellMar>
      </w:tblPr>
      <w:tblGrid>
        <w:gridCol w:w="553"/>
        <w:gridCol w:w="553"/>
        <w:gridCol w:w="1030"/>
        <w:gridCol w:w="635"/>
        <w:gridCol w:w="1267"/>
        <w:gridCol w:w="1009"/>
        <w:gridCol w:w="756"/>
        <w:gridCol w:w="581"/>
        <w:gridCol w:w="274"/>
        <w:gridCol w:w="292"/>
        <w:gridCol w:w="273"/>
        <w:gridCol w:w="307"/>
        <w:gridCol w:w="313"/>
        <w:gridCol w:w="1817"/>
      </w:tblGrid>
      <w:tr>
        <w:tblPrEx>
          <w:tblLayout w:type="fixed"/>
          <w:tblCellMar>
            <w:top w:w="0" w:type="dxa"/>
            <w:left w:w="0" w:type="dxa"/>
            <w:bottom w:w="0" w:type="dxa"/>
            <w:right w:w="0" w:type="dxa"/>
          </w:tblCellMar>
        </w:tblPrEx>
        <w:trPr>
          <w:trHeight w:val="210" w:hRule="atLeast"/>
        </w:trPr>
        <w:tc>
          <w:tcPr>
            <w:tcW w:w="966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项目支出绩效自评表</w:t>
            </w:r>
          </w:p>
        </w:tc>
      </w:tr>
      <w:tr>
        <w:tblPrEx>
          <w:tblLayout w:type="fixed"/>
          <w:tblCellMar>
            <w:top w:w="0" w:type="dxa"/>
            <w:left w:w="0" w:type="dxa"/>
            <w:bottom w:w="0" w:type="dxa"/>
            <w:right w:w="0" w:type="dxa"/>
          </w:tblCellMar>
        </w:tblPrEx>
        <w:trPr>
          <w:trHeight w:val="210" w:hRule="atLeast"/>
        </w:trPr>
        <w:tc>
          <w:tcPr>
            <w:tcW w:w="966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Layout w:type="fixed"/>
          <w:tblCellMar>
            <w:top w:w="0" w:type="dxa"/>
            <w:left w:w="0" w:type="dxa"/>
            <w:bottom w:w="0" w:type="dxa"/>
            <w:right w:w="0" w:type="dxa"/>
          </w:tblCellMar>
        </w:tblPrEx>
        <w:trPr>
          <w:trHeight w:val="396" w:hRule="atLeast"/>
        </w:trPr>
        <w:tc>
          <w:tcPr>
            <w:tcW w:w="11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554"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2021年美术馆、公共图书馆、文化馆（站）免费开放补助资金</w:t>
            </w:r>
          </w:p>
        </w:tc>
      </w:tr>
      <w:tr>
        <w:tblPrEx>
          <w:tblLayout w:type="fixed"/>
          <w:tblCellMar>
            <w:top w:w="0" w:type="dxa"/>
            <w:left w:w="0" w:type="dxa"/>
            <w:bottom w:w="0" w:type="dxa"/>
            <w:right w:w="0" w:type="dxa"/>
          </w:tblCellMar>
        </w:tblPrEx>
        <w:trPr>
          <w:trHeight w:val="396" w:hRule="atLeast"/>
        </w:trPr>
        <w:tc>
          <w:tcPr>
            <w:tcW w:w="11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69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00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百园路片区管理委员会</w:t>
            </w:r>
          </w:p>
        </w:tc>
      </w:tr>
      <w:tr>
        <w:tblPrEx>
          <w:tblLayout w:type="fixed"/>
          <w:tblCellMar>
            <w:top w:w="0" w:type="dxa"/>
            <w:left w:w="0" w:type="dxa"/>
            <w:bottom w:w="0" w:type="dxa"/>
            <w:right w:w="0" w:type="dxa"/>
          </w:tblCellMar>
        </w:tblPrEx>
        <w:trPr>
          <w:trHeight w:val="396"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6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Layout w:type="fixed"/>
          <w:tblCellMar>
            <w:top w:w="0" w:type="dxa"/>
            <w:left w:w="0" w:type="dxa"/>
            <w:bottom w:w="0" w:type="dxa"/>
            <w:right w:w="0" w:type="dxa"/>
          </w:tblCellMar>
        </w:tblPrEx>
        <w:trPr>
          <w:trHeight w:val="396"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w:t>
            </w:r>
          </w:p>
        </w:tc>
        <w:tc>
          <w:tcPr>
            <w:tcW w:w="1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0.00分</w:t>
            </w:r>
          </w:p>
        </w:tc>
      </w:tr>
      <w:tr>
        <w:tblPrEx>
          <w:tblLayout w:type="fixed"/>
          <w:tblCellMar>
            <w:top w:w="0" w:type="dxa"/>
            <w:left w:w="0" w:type="dxa"/>
            <w:bottom w:w="0" w:type="dxa"/>
            <w:right w:w="0" w:type="dxa"/>
          </w:tblCellMar>
        </w:tblPrEx>
        <w:trPr>
          <w:trHeight w:val="396"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96"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2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85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Layout w:type="fixed"/>
          <w:tblCellMar>
            <w:top w:w="0" w:type="dxa"/>
            <w:left w:w="0" w:type="dxa"/>
            <w:bottom w:w="0" w:type="dxa"/>
            <w:right w:w="0" w:type="dxa"/>
          </w:tblCellMar>
        </w:tblPrEx>
        <w:trPr>
          <w:trHeight w:val="396"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为贯彻落实党中央、自治区党委关于“推进美术馆、图书馆、文化馆免费开放，丰富人民群众的精神文化生活”的要求，提高辖区居民文化生活，我片区开放文化站1个，每年举办文化活动2次， 每次15人，为确保活动正常开展，拨付补助经费7.2万元，每月0.6万元，用于组织辖区友兴街南社区开展活动，通过项目的实施，提供更多、更好的公共文化服务，丰富居民的业余文化生活。</w:t>
            </w:r>
          </w:p>
        </w:tc>
        <w:tc>
          <w:tcPr>
            <w:tcW w:w="385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受疫情影响，本年度未开展相关文化开放活动，此项目未有支出。</w:t>
            </w:r>
          </w:p>
        </w:tc>
      </w:tr>
      <w:tr>
        <w:tblPrEx>
          <w:tblLayout w:type="fixed"/>
          <w:tblCellMar>
            <w:top w:w="0" w:type="dxa"/>
            <w:left w:w="0" w:type="dxa"/>
            <w:bottom w:w="0" w:type="dxa"/>
            <w:right w:w="0" w:type="dxa"/>
          </w:tblCellMar>
        </w:tblPrEx>
        <w:trPr>
          <w:trHeight w:val="200"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1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7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5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21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5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文化馆数量</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=1个</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1个</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开展各类公共文化服务活动数量</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&gt;=2场</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0场</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图书馆、美术馆、文化站免费开放活动人数</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=15人/场</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0人/场</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经费保障率</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开馆及时率</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2022年12月31日</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资金支付及时率</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经费补助标准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&lt;=0.6万元/月</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0万元/月</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提供更多、更好的公共文化服务</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提供群众精神文化需求</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长期</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9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受益人员满意度</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因疫情经费未付，活动未开展</w:t>
            </w:r>
          </w:p>
        </w:tc>
      </w:tr>
      <w:tr>
        <w:tblPrEx>
          <w:tblLayout w:type="fixed"/>
          <w:tblCellMar>
            <w:top w:w="0" w:type="dxa"/>
            <w:left w:w="0" w:type="dxa"/>
            <w:bottom w:w="0" w:type="dxa"/>
            <w:right w:w="0" w:type="dxa"/>
          </w:tblCellMar>
        </w:tblPrEx>
        <w:trPr>
          <w:trHeight w:val="200" w:hRule="atLeast"/>
        </w:trPr>
        <w:tc>
          <w:tcPr>
            <w:tcW w:w="638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5.00分</w:t>
            </w:r>
          </w:p>
        </w:tc>
        <w:tc>
          <w:tcPr>
            <w:tcW w:w="2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2560" w:firstLineChars="800"/>
        <w:jc w:val="both"/>
        <w:textAlignment w:val="auto"/>
        <w:outlineLvl w:val="0"/>
        <w:rPr>
          <w:rFonts w:hint="eastAsia" w:ascii="黑体" w:hAnsi="黑体" w:eastAsia="黑体"/>
          <w:sz w:val="32"/>
          <w:szCs w:val="32"/>
          <w:highlight w:val="none"/>
        </w:rPr>
      </w:pPr>
      <w:bookmarkStart w:id="34" w:name="_Toc24143"/>
      <w:bookmarkStart w:id="35" w:name="_Toc3250"/>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183"/>
      <w:bookmarkStart w:id="39" w:name="_Toc6062"/>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29106"/>
      <w:bookmarkStart w:id="51" w:name="_Toc32663"/>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5453"/>
      <w:bookmarkStart w:id="53" w:name="_Toc764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00000000"/>
    <w:rsid w:val="00B82058"/>
    <w:rsid w:val="01221EAA"/>
    <w:rsid w:val="016C364F"/>
    <w:rsid w:val="019C1EAA"/>
    <w:rsid w:val="02A257E7"/>
    <w:rsid w:val="02F73D26"/>
    <w:rsid w:val="034D4FEF"/>
    <w:rsid w:val="043E5B56"/>
    <w:rsid w:val="04FE454D"/>
    <w:rsid w:val="057411CE"/>
    <w:rsid w:val="06792773"/>
    <w:rsid w:val="07565116"/>
    <w:rsid w:val="07B77739"/>
    <w:rsid w:val="0A7B4867"/>
    <w:rsid w:val="0B8C3ECC"/>
    <w:rsid w:val="0C7227A7"/>
    <w:rsid w:val="0DC13828"/>
    <w:rsid w:val="0E2C75DE"/>
    <w:rsid w:val="0F451083"/>
    <w:rsid w:val="0F955F3C"/>
    <w:rsid w:val="11AD2CC1"/>
    <w:rsid w:val="127451CB"/>
    <w:rsid w:val="13C64C45"/>
    <w:rsid w:val="159160EC"/>
    <w:rsid w:val="1677441F"/>
    <w:rsid w:val="17677468"/>
    <w:rsid w:val="1A7F18AD"/>
    <w:rsid w:val="1BD855C0"/>
    <w:rsid w:val="1C1E4E30"/>
    <w:rsid w:val="1CDE66A8"/>
    <w:rsid w:val="1DAF458D"/>
    <w:rsid w:val="20B447F6"/>
    <w:rsid w:val="20DD6197"/>
    <w:rsid w:val="214E5B76"/>
    <w:rsid w:val="217E1941"/>
    <w:rsid w:val="23BC04D2"/>
    <w:rsid w:val="25C348AA"/>
    <w:rsid w:val="264939D1"/>
    <w:rsid w:val="27CF2642"/>
    <w:rsid w:val="287C5397"/>
    <w:rsid w:val="2A053397"/>
    <w:rsid w:val="2A4429C0"/>
    <w:rsid w:val="2A987463"/>
    <w:rsid w:val="2ADD1E52"/>
    <w:rsid w:val="2D1136DF"/>
    <w:rsid w:val="2FD27414"/>
    <w:rsid w:val="31C63837"/>
    <w:rsid w:val="321E5346"/>
    <w:rsid w:val="33883B0D"/>
    <w:rsid w:val="35635123"/>
    <w:rsid w:val="3914510A"/>
    <w:rsid w:val="3CC53CF6"/>
    <w:rsid w:val="3D5275AC"/>
    <w:rsid w:val="3FA3253A"/>
    <w:rsid w:val="40834692"/>
    <w:rsid w:val="42A61FCC"/>
    <w:rsid w:val="42C92CFC"/>
    <w:rsid w:val="43220336"/>
    <w:rsid w:val="454F1585"/>
    <w:rsid w:val="45F06429"/>
    <w:rsid w:val="46901EEE"/>
    <w:rsid w:val="469C74D2"/>
    <w:rsid w:val="46FA3181"/>
    <w:rsid w:val="4AA14604"/>
    <w:rsid w:val="4B0C1F17"/>
    <w:rsid w:val="4B4C0111"/>
    <w:rsid w:val="4F2B0A78"/>
    <w:rsid w:val="50190C7A"/>
    <w:rsid w:val="50DB5F45"/>
    <w:rsid w:val="520F4F7E"/>
    <w:rsid w:val="522D2658"/>
    <w:rsid w:val="52535965"/>
    <w:rsid w:val="52F854FE"/>
    <w:rsid w:val="52F92565"/>
    <w:rsid w:val="54A21E89"/>
    <w:rsid w:val="583059FA"/>
    <w:rsid w:val="59F877EB"/>
    <w:rsid w:val="5E057460"/>
    <w:rsid w:val="5FA17648"/>
    <w:rsid w:val="5FDB1739"/>
    <w:rsid w:val="617A0079"/>
    <w:rsid w:val="61A46A97"/>
    <w:rsid w:val="62DD7D21"/>
    <w:rsid w:val="63B439DF"/>
    <w:rsid w:val="648C2F47"/>
    <w:rsid w:val="65D97752"/>
    <w:rsid w:val="65E27422"/>
    <w:rsid w:val="65FF57D7"/>
    <w:rsid w:val="673935B9"/>
    <w:rsid w:val="67DD43EC"/>
    <w:rsid w:val="689C1075"/>
    <w:rsid w:val="68DB0208"/>
    <w:rsid w:val="69846A0E"/>
    <w:rsid w:val="69AD798C"/>
    <w:rsid w:val="6B68175F"/>
    <w:rsid w:val="6E0F7A08"/>
    <w:rsid w:val="6F0910D7"/>
    <w:rsid w:val="71473612"/>
    <w:rsid w:val="718F7F65"/>
    <w:rsid w:val="73FB6630"/>
    <w:rsid w:val="74E76DCD"/>
    <w:rsid w:val="77ED6F44"/>
    <w:rsid w:val="781675C4"/>
    <w:rsid w:val="790B4FE9"/>
    <w:rsid w:val="7D472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0"/>
    <w:pPr>
      <w:spacing w:beforeLines="0" w:afterLines="0"/>
      <w:ind w:firstLine="630"/>
    </w:pPr>
    <w:rPr>
      <w:rFonts w:hint="eastAsia" w:ascii="仿宋_GB2312" w:eastAsia="仿宋_GB2312"/>
      <w:sz w:val="32"/>
      <w:szCs w:val="22"/>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2"/>
    <w:basedOn w:val="3"/>
    <w:next w:val="1"/>
    <w:unhideWhenUsed/>
    <w:qFormat/>
    <w:uiPriority w:val="0"/>
    <w:pPr>
      <w:spacing w:beforeLines="0" w:afterLines="0"/>
      <w:ind w:firstLine="420" w:firstLineChars="200"/>
    </w:pPr>
    <w:rPr>
      <w:rFonts w:hint="eastAsia" w:ascii="Times New Roman" w:hAnsi="Times New Roman" w:eastAsia="宋体"/>
      <w:sz w:val="30"/>
      <w:szCs w:val="22"/>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11945</Words>
  <Characters>13685</Characters>
  <Lines>0</Lines>
  <Paragraphs>0</Paragraphs>
  <TotalTime>81</TotalTime>
  <ScaleCrop>false</ScaleCrop>
  <LinksUpToDate>false</LinksUpToDate>
  <CharactersWithSpaces>13764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2024-02-23T04:28:19Z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8BC707FAF7754E089F86C42A7A2BC544_13</vt:lpwstr>
  </property>
</Properties>
</file>