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480" w:lineRule="auto"/>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snapToGrid w:val="0"/>
        <w:spacing w:line="480" w:lineRule="auto"/>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不合格风险控制报告</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（2024年1</w:t>
      </w:r>
      <w:r>
        <w:rPr>
          <w:rFonts w:hint="eastAsia" w:ascii="Times New Roman" w:hAnsi="Times New Roman" w:eastAsia="仿宋_GB2312" w:cs="Times New Roman"/>
          <w:sz w:val="30"/>
          <w:szCs w:val="30"/>
          <w:lang w:val="en-US" w:eastAsia="zh-CN"/>
        </w:rPr>
        <w:t>8</w:t>
      </w:r>
      <w:r>
        <w:rPr>
          <w:rFonts w:hint="default" w:ascii="Times New Roman" w:hAnsi="Times New Roman" w:eastAsia="仿宋_GB2312" w:cs="Times New Roman"/>
          <w:sz w:val="30"/>
          <w:szCs w:val="30"/>
          <w:lang w:val="en-US" w:eastAsia="zh-CN"/>
        </w:rPr>
        <w:t>号）</w:t>
      </w:r>
    </w:p>
    <w:p>
      <w:pPr>
        <w:keepNext w:val="0"/>
        <w:keepLines w:val="0"/>
        <w:pageBreakBefore w:val="0"/>
        <w:widowControl w:val="0"/>
        <w:numPr>
          <w:ilvl w:val="0"/>
          <w:numId w:val="0"/>
        </w:numPr>
        <w:kinsoku/>
        <w:wordWrap/>
        <w:overflowPunct/>
        <w:topLinePunct w:val="0"/>
        <w:autoSpaceDE/>
        <w:autoSpaceDN/>
        <w:bidi w:val="0"/>
        <w:snapToGrid w:val="0"/>
        <w:spacing w:line="480" w:lineRule="auto"/>
        <w:ind w:left="0" w:leftChars="0" w:firstLine="664"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日，我局在国家食品安全抽查检验信息</w:t>
      </w:r>
      <w:bookmarkStart w:id="0" w:name="_GoBack"/>
      <w:bookmarkEnd w:id="0"/>
      <w:r>
        <w:rPr>
          <w:rFonts w:hint="eastAsia" w:ascii="方正仿宋_GBK" w:hAnsi="方正仿宋_GBK" w:eastAsia="方正仿宋_GBK" w:cs="方正仿宋_GBK"/>
          <w:sz w:val="32"/>
          <w:szCs w:val="32"/>
        </w:rPr>
        <w:t>系统上收到核查处置任务信息。高新区（新市区）东站路永骞生鲜便利店经营的</w:t>
      </w:r>
      <w:r>
        <w:rPr>
          <w:rFonts w:hint="eastAsia" w:ascii="方正仿宋_GBK" w:hAnsi="方正仿宋_GBK" w:eastAsia="方正仿宋_GBK" w:cs="方正仿宋_GBK"/>
          <w:sz w:val="32"/>
          <w:szCs w:val="32"/>
          <w:lang w:val="en-US" w:eastAsia="zh-CN"/>
        </w:rPr>
        <w:t>生姜经抽样检验</w:t>
      </w:r>
      <w:r>
        <w:rPr>
          <w:rFonts w:hint="eastAsia" w:ascii="方正仿宋_GBK" w:hAnsi="方正仿宋_GBK" w:eastAsia="方正仿宋_GBK" w:cs="方正仿宋_GBK"/>
          <w:sz w:val="32"/>
          <w:szCs w:val="32"/>
        </w:rPr>
        <w:t>不合格，现将</w:t>
      </w:r>
      <w:r>
        <w:rPr>
          <w:rFonts w:hint="eastAsia" w:ascii="方正仿宋_GBK" w:hAnsi="方正仿宋_GBK" w:eastAsia="方正仿宋_GBK" w:cs="方正仿宋_GBK"/>
          <w:sz w:val="32"/>
          <w:szCs w:val="32"/>
          <w:lang w:eastAsia="zh-CN"/>
        </w:rPr>
        <w:t>不合格产品</w:t>
      </w:r>
      <w:r>
        <w:rPr>
          <w:rFonts w:hint="eastAsia" w:ascii="方正仿宋_GBK" w:hAnsi="方正仿宋_GBK" w:eastAsia="方正仿宋_GBK" w:cs="方正仿宋_GBK"/>
          <w:sz w:val="32"/>
          <w:szCs w:val="32"/>
        </w:rPr>
        <w:t>核查处置情况通告如下</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val="0"/>
        <w:spacing w:line="480" w:lineRule="auto"/>
        <w:ind w:firstLine="664" w:firstLineChars="0"/>
        <w:textAlignment w:val="auto"/>
        <w:rPr>
          <w:rFonts w:hint="eastAsia" w:ascii="方正仿宋_GBK" w:hAnsi="方正仿宋_GBK" w:eastAsia="方正仿宋_GBK" w:cs="方正仿宋_GBK"/>
          <w:b/>
          <w:color w:val="000000"/>
          <w:sz w:val="32"/>
          <w:szCs w:val="32"/>
          <w:shd w:val="clear" w:color="auto" w:fill="FFFFFF"/>
          <w:lang w:val="en-US" w:eastAsia="zh-CN"/>
        </w:rPr>
      </w:pPr>
      <w:r>
        <w:rPr>
          <w:rFonts w:hint="eastAsia" w:ascii="方正仿宋_GBK" w:hAnsi="方正仿宋_GBK" w:eastAsia="方正仿宋_GBK" w:cs="方正仿宋_GBK"/>
          <w:b/>
          <w:color w:val="000000"/>
          <w:kern w:val="2"/>
          <w:sz w:val="32"/>
          <w:szCs w:val="32"/>
          <w:shd w:val="clear" w:fill="FFFFFF"/>
          <w:lang w:val="en-US" w:eastAsia="zh-CN" w:bidi="ar-SA"/>
        </w:rPr>
        <w:t>一、</w:t>
      </w:r>
      <w:r>
        <w:rPr>
          <w:rFonts w:hint="eastAsia" w:ascii="方正仿宋_GBK" w:hAnsi="方正仿宋_GBK" w:eastAsia="方正仿宋_GBK" w:cs="方正仿宋_GBK"/>
          <w:b/>
          <w:color w:val="000000"/>
          <w:sz w:val="32"/>
          <w:szCs w:val="32"/>
          <w:shd w:val="clear" w:color="auto" w:fill="FFFFFF"/>
          <w:lang w:val="en-US" w:eastAsia="zh-CN"/>
        </w:rPr>
        <w:t>抽检基本情况。</w:t>
      </w:r>
    </w:p>
    <w:p>
      <w:pPr>
        <w:keepNext w:val="0"/>
        <w:keepLines w:val="0"/>
        <w:pageBreakBefore w:val="0"/>
        <w:widowControl w:val="0"/>
        <w:numPr>
          <w:ilvl w:val="0"/>
          <w:numId w:val="0"/>
        </w:numPr>
        <w:kinsoku/>
        <w:wordWrap/>
        <w:overflowPunct/>
        <w:topLinePunct w:val="0"/>
        <w:autoSpaceDE/>
        <w:autoSpaceDN/>
        <w:bidi w:val="0"/>
        <w:snapToGrid w:val="0"/>
        <w:spacing w:line="480" w:lineRule="auto"/>
        <w:ind w:left="0" w:leftChars="0" w:firstLine="664"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2024年2月20日，乌鲁木齐高新技术产业开发区（新市区）市场监督管理局委托摩天众创检测服务有限公司对当事人经营销售的生姜（购进日期2024-02-20）进行食品安全监督抽检，抽样</w:t>
      </w:r>
      <w:r>
        <w:rPr>
          <w:rFonts w:hint="eastAsia" w:ascii="方正仿宋_GBK" w:hAnsi="方正仿宋_GBK" w:eastAsia="方正仿宋_GBK" w:cs="方正仿宋_GBK"/>
          <w:sz w:val="32"/>
          <w:szCs w:val="32"/>
          <w:lang w:eastAsia="zh-CN"/>
        </w:rPr>
        <w:t>数量</w:t>
      </w:r>
      <w:r>
        <w:rPr>
          <w:rFonts w:hint="eastAsia" w:ascii="方正仿宋_GBK" w:hAnsi="方正仿宋_GBK" w:eastAsia="方正仿宋_GBK" w:cs="方正仿宋_GBK"/>
          <w:sz w:val="32"/>
          <w:szCs w:val="32"/>
        </w:rPr>
        <w:t>为6kg，</w:t>
      </w:r>
      <w:r>
        <w:rPr>
          <w:rFonts w:hint="eastAsia" w:ascii="方正仿宋_GBK" w:hAnsi="方正仿宋_GBK" w:eastAsia="方正仿宋_GBK" w:cs="方正仿宋_GBK"/>
          <w:sz w:val="32"/>
          <w:szCs w:val="32"/>
          <w:lang w:eastAsia="zh-CN"/>
        </w:rPr>
        <w:t>样品价格为</w:t>
      </w:r>
      <w:r>
        <w:rPr>
          <w:rFonts w:hint="eastAsia" w:ascii="方正仿宋_GBK" w:hAnsi="方正仿宋_GBK" w:eastAsia="方正仿宋_GBK" w:cs="方正仿宋_GBK"/>
          <w:sz w:val="32"/>
          <w:szCs w:val="32"/>
          <w:lang w:val="en-US" w:eastAsia="zh-CN"/>
        </w:rPr>
        <w:t>14.5元/kg</w:t>
      </w:r>
      <w:r>
        <w:rPr>
          <w:rFonts w:hint="eastAsia" w:ascii="方正仿宋_GBK" w:hAnsi="方正仿宋_GBK" w:eastAsia="方正仿宋_GBK" w:cs="方正仿宋_GBK"/>
          <w:sz w:val="32"/>
          <w:szCs w:val="32"/>
        </w:rPr>
        <w:t>。2024年3月13日出具了编号为：No：MTSPGX240085的检验报告。检验结论为：经抽样检验，吡虫啉，噻虫胺项目不符合GB 2763-2021《食品安全国家标准 食品中农药最大残留限量》要求，检验结论为不合格。抽检不合格检验项目为吡虫啉，单位为mg/kg，标准要求为≦0.5，实测值为3.31，单项判定为不合格。抽检不合格检验项目为噻虫胺，单位为mg/kg，标准要求为≦0.2，实测值为0.57，单项判定为不合格。</w:t>
      </w:r>
    </w:p>
    <w:p>
      <w:pPr>
        <w:keepNext w:val="0"/>
        <w:keepLines w:val="0"/>
        <w:pageBreakBefore w:val="0"/>
        <w:widowControl w:val="0"/>
        <w:numPr>
          <w:ilvl w:val="0"/>
          <w:numId w:val="0"/>
        </w:numPr>
        <w:kinsoku/>
        <w:wordWrap/>
        <w:overflowPunct/>
        <w:topLinePunct w:val="0"/>
        <w:autoSpaceDE/>
        <w:autoSpaceDN/>
        <w:bidi w:val="0"/>
        <w:snapToGrid w:val="0"/>
        <w:spacing w:line="480" w:lineRule="auto"/>
        <w:ind w:left="0" w:leftChars="0" w:firstLine="664" w:firstLineChars="0"/>
        <w:textAlignment w:val="auto"/>
        <w:rPr>
          <w:rFonts w:hint="eastAsia" w:ascii="方正仿宋_GBK" w:hAnsi="方正仿宋_GBK" w:eastAsia="方正仿宋_GBK" w:cs="方正仿宋_GBK"/>
          <w:b/>
          <w:color w:val="000000"/>
          <w:sz w:val="32"/>
          <w:szCs w:val="32"/>
          <w:shd w:val="clear" w:color="auto" w:fill="FFFFFF"/>
          <w:lang w:val="en-US" w:eastAsia="zh-CN"/>
        </w:rPr>
      </w:pPr>
      <w:r>
        <w:rPr>
          <w:rFonts w:hint="eastAsia" w:ascii="方正仿宋_GBK" w:hAnsi="方正仿宋_GBK" w:eastAsia="方正仿宋_GBK" w:cs="方正仿宋_GBK"/>
          <w:b/>
          <w:color w:val="000000"/>
          <w:kern w:val="2"/>
          <w:sz w:val="32"/>
          <w:szCs w:val="32"/>
          <w:shd w:val="clear" w:fill="FFFFFF"/>
          <w:lang w:val="en-US" w:eastAsia="zh-CN" w:bidi="ar-SA"/>
        </w:rPr>
        <w:t>二、</w:t>
      </w:r>
      <w:r>
        <w:rPr>
          <w:rFonts w:hint="eastAsia" w:ascii="方正仿宋_GBK" w:hAnsi="方正仿宋_GBK" w:eastAsia="方正仿宋_GBK" w:cs="方正仿宋_GBK"/>
          <w:b/>
          <w:color w:val="000000"/>
          <w:sz w:val="32"/>
          <w:szCs w:val="32"/>
          <w:shd w:val="clear" w:color="auto" w:fill="FFFFFF"/>
          <w:lang w:val="en-US" w:eastAsia="zh-CN"/>
        </w:rPr>
        <w:t>调查处置、产品控制情况。</w:t>
      </w:r>
    </w:p>
    <w:p>
      <w:pPr>
        <w:keepNext w:val="0"/>
        <w:keepLines w:val="0"/>
        <w:pageBreakBefore w:val="0"/>
        <w:widowControl w:val="0"/>
        <w:kinsoku/>
        <w:wordWrap/>
        <w:overflowPunct/>
        <w:topLinePunct w:val="0"/>
        <w:autoSpaceDE/>
        <w:autoSpaceDN/>
        <w:bidi w:val="0"/>
        <w:adjustRightInd w:val="0"/>
        <w:snapToGrid w:val="0"/>
        <w:spacing w:line="480" w:lineRule="auto"/>
        <w:ind w:right="0" w:firstLine="640" w:firstLineChars="200"/>
        <w:jc w:val="both"/>
        <w:textAlignment w:val="baseline"/>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2024年3月14日我局执法人员给当事人送达了《检验报告》《食品安全抽样检验结果通知书》和《食品安全抽样检验复检和异议须知》，当事人在法定期限内对检验结论未提出异议。同时下达《责令改正通知书》，责令当事人立即启动召回机制并清点封存抽检不合格的同批次产品，提交整改报告和情况说明。</w:t>
      </w:r>
      <w:r>
        <w:rPr>
          <w:rFonts w:hint="eastAsia" w:ascii="方正仿宋_GBK" w:hAnsi="方正仿宋_GBK" w:eastAsia="方正仿宋_GBK" w:cs="方正仿宋_GBK"/>
          <w:sz w:val="32"/>
          <w:szCs w:val="32"/>
          <w:highlight w:val="none"/>
          <w:lang w:eastAsia="zh-CN"/>
        </w:rPr>
        <w:t>截至执法人员检查之日止，该批次生姜已全部销售完毕。</w:t>
      </w:r>
    </w:p>
    <w:p>
      <w:pPr>
        <w:keepNext w:val="0"/>
        <w:keepLines w:val="0"/>
        <w:pageBreakBefore w:val="0"/>
        <w:widowControl w:val="0"/>
        <w:kinsoku/>
        <w:wordWrap/>
        <w:overflowPunct/>
        <w:topLinePunct w:val="0"/>
        <w:autoSpaceDE/>
        <w:autoSpaceDN/>
        <w:bidi w:val="0"/>
        <w:adjustRightInd w:val="0"/>
        <w:snapToGrid w:val="0"/>
        <w:spacing w:line="480" w:lineRule="auto"/>
        <w:ind w:right="0" w:firstLine="640" w:firstLineChars="200"/>
        <w:jc w:val="right"/>
        <w:textAlignment w:val="baseline"/>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乌鲁木齐高新技术产业开发区（乌鲁木齐市新市区）</w:t>
      </w:r>
    </w:p>
    <w:p>
      <w:pPr>
        <w:keepNext w:val="0"/>
        <w:keepLines w:val="0"/>
        <w:pageBreakBefore w:val="0"/>
        <w:widowControl w:val="0"/>
        <w:kinsoku/>
        <w:wordWrap/>
        <w:overflowPunct/>
        <w:topLinePunct w:val="0"/>
        <w:autoSpaceDE/>
        <w:autoSpaceDN/>
        <w:bidi w:val="0"/>
        <w:adjustRightInd w:val="0"/>
        <w:snapToGrid w:val="0"/>
        <w:spacing w:line="480" w:lineRule="auto"/>
        <w:ind w:right="0" w:firstLine="640" w:firstLineChars="200"/>
        <w:jc w:val="right"/>
        <w:textAlignment w:val="baseline"/>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市场监督管理局</w:t>
      </w:r>
    </w:p>
    <w:p>
      <w:pPr>
        <w:keepNext w:val="0"/>
        <w:keepLines w:val="0"/>
        <w:pageBreakBefore w:val="0"/>
        <w:widowControl w:val="0"/>
        <w:kinsoku/>
        <w:wordWrap/>
        <w:overflowPunct/>
        <w:topLinePunct w:val="0"/>
        <w:autoSpaceDE/>
        <w:autoSpaceDN/>
        <w:bidi w:val="0"/>
        <w:adjustRightInd w:val="0"/>
        <w:snapToGrid w:val="0"/>
        <w:spacing w:line="480" w:lineRule="auto"/>
        <w:ind w:right="0" w:firstLine="640" w:firstLineChars="200"/>
        <w:jc w:val="right"/>
        <w:textAlignment w:val="baseline"/>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2024年4月18日</w:t>
      </w:r>
    </w:p>
    <w:p>
      <w:pPr>
        <w:keepNext w:val="0"/>
        <w:keepLines w:val="0"/>
        <w:pageBreakBefore w:val="0"/>
        <w:widowControl w:val="0"/>
        <w:kinsoku/>
        <w:wordWrap/>
        <w:overflowPunct/>
        <w:topLinePunct w:val="0"/>
        <w:autoSpaceDE/>
        <w:autoSpaceDN/>
        <w:bidi w:val="0"/>
        <w:adjustRightInd w:val="0"/>
        <w:snapToGrid w:val="0"/>
        <w:spacing w:line="480" w:lineRule="auto"/>
        <w:ind w:right="0"/>
        <w:jc w:val="left"/>
        <w:textAlignment w:val="baseline"/>
        <w:outlineLvl w:val="9"/>
        <w:rPr>
          <w:rFonts w:hint="eastAsia" w:ascii="方正仿宋_GBK" w:hAnsi="方正仿宋_GBK" w:eastAsia="方正仿宋_GBK" w:cs="方正仿宋_GBK"/>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TAwOTkzZmQ1M2QwNzVhM2UwZjdlNTcxZjIxNDIifQ=="/>
  </w:docVars>
  <w:rsids>
    <w:rsidRoot w:val="05636C8C"/>
    <w:rsid w:val="05636C8C"/>
    <w:rsid w:val="0733759D"/>
    <w:rsid w:val="181E4F22"/>
    <w:rsid w:val="1BF92280"/>
    <w:rsid w:val="1EC37B3D"/>
    <w:rsid w:val="23386DEF"/>
    <w:rsid w:val="27621F29"/>
    <w:rsid w:val="28BD2A85"/>
    <w:rsid w:val="2B1A7493"/>
    <w:rsid w:val="2F5042FF"/>
    <w:rsid w:val="315D0348"/>
    <w:rsid w:val="33E21DA2"/>
    <w:rsid w:val="3675213A"/>
    <w:rsid w:val="46020533"/>
    <w:rsid w:val="48A7368D"/>
    <w:rsid w:val="48C20A54"/>
    <w:rsid w:val="4CF621E9"/>
    <w:rsid w:val="4EBB0432"/>
    <w:rsid w:val="50B521B1"/>
    <w:rsid w:val="51542844"/>
    <w:rsid w:val="53581180"/>
    <w:rsid w:val="554263F3"/>
    <w:rsid w:val="57E0569C"/>
    <w:rsid w:val="5E785132"/>
    <w:rsid w:val="600E685F"/>
    <w:rsid w:val="63830E50"/>
    <w:rsid w:val="66615A07"/>
    <w:rsid w:val="67446C51"/>
    <w:rsid w:val="6B992B63"/>
    <w:rsid w:val="6DD705FA"/>
    <w:rsid w:val="717A0C4F"/>
    <w:rsid w:val="78AF434E"/>
    <w:rsid w:val="7BD9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805</Words>
  <Characters>962</Characters>
  <Lines>0</Lines>
  <Paragraphs>0</Paragraphs>
  <TotalTime>5</TotalTime>
  <ScaleCrop>false</ScaleCrop>
  <LinksUpToDate>false</LinksUpToDate>
  <CharactersWithSpaces>983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峰</cp:lastModifiedBy>
  <dcterms:modified xsi:type="dcterms:W3CDTF">2024-04-28T08:15:42Z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1134250BA3BC4D939870B9A067E36B51</vt:lpwstr>
  </property>
</Properties>
</file>