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55D55"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国家税务总局乌鲁木齐高新技术产业开发区（新市区）税务局关于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/>
          <w:sz w:val="44"/>
          <w:szCs w:val="44"/>
        </w:rPr>
        <w:t>年度</w:t>
      </w:r>
    </w:p>
    <w:p w14:paraId="311E5140">
      <w:pPr>
        <w:spacing w:line="700" w:lineRule="exact"/>
        <w:jc w:val="center"/>
      </w:pPr>
      <w:r>
        <w:rPr>
          <w:rFonts w:hint="eastAsia" w:ascii="方正小标宋简体" w:hAnsi="黑体" w:eastAsia="方正小标宋简体"/>
          <w:sz w:val="44"/>
          <w:szCs w:val="44"/>
        </w:rPr>
        <w:t>法治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税务</w:t>
      </w:r>
      <w:r>
        <w:rPr>
          <w:rFonts w:hint="eastAsia" w:ascii="方正小标宋简体" w:hAnsi="黑体" w:eastAsia="方正小标宋简体"/>
          <w:sz w:val="44"/>
          <w:szCs w:val="44"/>
        </w:rPr>
        <w:t>建设情况的报告</w:t>
      </w:r>
    </w:p>
    <w:p w14:paraId="647793EB">
      <w:pPr>
        <w:rPr>
          <w:rFonts w:hint="eastAsia" w:ascii="仿宋_GB2312" w:hAnsi="华文仿宋" w:eastAsia="仿宋_GB2312"/>
          <w:sz w:val="32"/>
          <w:szCs w:val="32"/>
        </w:rPr>
      </w:pPr>
    </w:p>
    <w:p w14:paraId="5FAD8015">
      <w:pPr>
        <w:pStyle w:val="5"/>
        <w:numPr>
          <w:ilvl w:val="0"/>
          <w:numId w:val="0"/>
        </w:numPr>
        <w:adjustRightInd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为深入推进依法行政工作，20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年乌鲁木齐高新区（新市区）税务局</w:t>
      </w:r>
      <w:r>
        <w:rPr>
          <w:rFonts w:hint="eastAsia" w:ascii="仿宋_GB2312" w:eastAsia="仿宋_GB2312"/>
          <w:sz w:val="32"/>
          <w:szCs w:val="32"/>
          <w:lang w:eastAsia="zh-CN"/>
        </w:rPr>
        <w:t>以落实《法治政府建设实施纲要（2021—2025年）》为核心，以《关于进一步深化税收征管改革的意见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为抓手</w:t>
      </w:r>
      <w:r>
        <w:rPr>
          <w:rFonts w:hint="eastAsia" w:ascii="仿宋_GB2312" w:eastAsia="仿宋_GB2312"/>
          <w:sz w:val="32"/>
          <w:szCs w:val="32"/>
        </w:rPr>
        <w:t>，牢固树立依法治税理念，确保全面推进依法治税各项工作落到实处。</w:t>
      </w:r>
    </w:p>
    <w:p w14:paraId="32D3ED2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 w:cs="宋体"/>
          <w:sz w:val="32"/>
          <w:szCs w:val="32"/>
        </w:rPr>
        <w:t>法治税务建设情况</w:t>
      </w:r>
    </w:p>
    <w:p w14:paraId="0C998F98">
      <w:pPr>
        <w:pStyle w:val="5"/>
        <w:numPr>
          <w:ilvl w:val="0"/>
          <w:numId w:val="1"/>
        </w:numPr>
        <w:adjustRightInd w:val="0"/>
        <w:ind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深入学习贯彻</w:t>
      </w:r>
      <w:r>
        <w:rPr>
          <w:rFonts w:hint="eastAsia" w:ascii="楷体" w:hAnsi="楷体" w:eastAsia="楷体" w:cs="宋体"/>
          <w:sz w:val="32"/>
          <w:szCs w:val="32"/>
          <w:lang w:eastAsia="zh-CN"/>
        </w:rPr>
        <w:t>中国特色社会主义</w:t>
      </w:r>
      <w:r>
        <w:rPr>
          <w:rFonts w:hint="eastAsia" w:ascii="楷体" w:hAnsi="楷体" w:eastAsia="楷体" w:cs="宋体"/>
          <w:sz w:val="32"/>
          <w:szCs w:val="32"/>
        </w:rPr>
        <w:t>法治思想</w:t>
      </w:r>
    </w:p>
    <w:p w14:paraId="082B4860">
      <w:pPr>
        <w:pStyle w:val="5"/>
        <w:numPr>
          <w:ilvl w:val="0"/>
          <w:numId w:val="0"/>
        </w:numPr>
        <w:adjustRightInd w:val="0"/>
        <w:ind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乌鲁木齐高新区（新市区）税务局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坚持党对全面依法治国的领导，坚定不移走中国特色社会主义法治道路，</w:t>
      </w:r>
      <w:r>
        <w:rPr>
          <w:rFonts w:hint="eastAsia" w:ascii="仿宋_GB2312" w:eastAsia="仿宋_GB2312"/>
          <w:sz w:val="32"/>
          <w:szCs w:val="32"/>
        </w:rPr>
        <w:t>法治</w:t>
      </w:r>
      <w:r>
        <w:rPr>
          <w:rFonts w:hint="eastAsia" w:ascii="仿宋_GB2312" w:eastAsia="仿宋_GB2312"/>
          <w:sz w:val="32"/>
          <w:szCs w:val="32"/>
          <w:lang w:eastAsia="zh-CN"/>
        </w:rPr>
        <w:t>税务</w:t>
      </w:r>
      <w:r>
        <w:rPr>
          <w:rFonts w:hint="eastAsia" w:ascii="仿宋_GB2312" w:eastAsia="仿宋_GB2312"/>
          <w:sz w:val="32"/>
          <w:szCs w:val="32"/>
        </w:rPr>
        <w:t>建设取得重大进展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行政决策制度体系</w:t>
      </w:r>
      <w:r>
        <w:rPr>
          <w:rFonts w:hint="eastAsia" w:ascii="仿宋_GB2312" w:eastAsia="仿宋_GB2312"/>
          <w:sz w:val="32"/>
          <w:szCs w:val="32"/>
        </w:rPr>
        <w:t>基本形成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“放管服”改革纵深推进，重大行政决策程序制度初步建立，行政争议预防化解机制更加完善</w:t>
      </w:r>
      <w:r>
        <w:rPr>
          <w:rFonts w:hint="eastAsia" w:ascii="仿宋_GB2312" w:eastAsia="仿宋_GB2312"/>
          <w:sz w:val="32"/>
          <w:szCs w:val="32"/>
          <w:lang w:eastAsia="zh-CN"/>
        </w:rPr>
        <w:t>，税务机关工作人员</w:t>
      </w:r>
      <w:r>
        <w:rPr>
          <w:rFonts w:hint="eastAsia" w:ascii="仿宋_GB2312" w:eastAsia="仿宋_GB2312"/>
          <w:sz w:val="32"/>
          <w:szCs w:val="32"/>
        </w:rPr>
        <w:t>法治意识显著增强，依法行政能力明显提高。</w:t>
      </w:r>
    </w:p>
    <w:p w14:paraId="08BE6E4D">
      <w:pPr>
        <w:pStyle w:val="5"/>
        <w:numPr>
          <w:ilvl w:val="0"/>
          <w:numId w:val="1"/>
        </w:numPr>
        <w:adjustRightInd w:val="0"/>
        <w:ind w:left="0" w:leftChars="0"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健全政府机构职能体系，依法全面履行税收工作职能</w:t>
      </w:r>
    </w:p>
    <w:p w14:paraId="5434BD08">
      <w:pPr>
        <w:pStyle w:val="5"/>
        <w:adjustRightInd w:val="0"/>
        <w:ind w:firstLine="640" w:firstLineChars="200"/>
        <w:rPr>
          <w:rFonts w:hint="eastAsia" w:ascii="楷体" w:hAnsi="楷体" w:eastAsia="楷体" w:cs="宋体"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  <w:lang w:val="zh-CN"/>
        </w:rPr>
        <w:t>一是继续落实落细更大规模的减税降费，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</w:rPr>
        <w:t>为实体经济增添动能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</w:rPr>
        <w:t>助力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</w:rPr>
        <w:t>促创业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</w:rPr>
        <w:t>稳就业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</w:rPr>
        <w:t>保民生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eastAsia="zh-CN"/>
        </w:rPr>
        <w:t>”，</w:t>
      </w:r>
      <w:r>
        <w:rPr>
          <w:rFonts w:hint="eastAsia" w:ascii="仿宋_GB2312" w:hAnsi="仿宋" w:eastAsia="仿宋_GB2312" w:cs="仿宋"/>
          <w:kern w:val="1"/>
          <w:sz w:val="32"/>
          <w:szCs w:val="32"/>
          <w:lang w:val="zh-CN"/>
        </w:rPr>
        <w:t>稳妥有序推进各项工作顺利开展。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二是聚焦税费收入主业，坚持组织收入原则，做到依法征税，依法办理各项退税手续。</w:t>
      </w:r>
    </w:p>
    <w:p w14:paraId="76C61748">
      <w:pPr>
        <w:pStyle w:val="5"/>
        <w:numPr>
          <w:ilvl w:val="0"/>
          <w:numId w:val="1"/>
        </w:numPr>
        <w:adjustRightInd w:val="0"/>
        <w:ind w:left="0" w:leftChars="0"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健全依法行政制度体系，不断提高税收制度建设质量</w:t>
      </w:r>
    </w:p>
    <w:p w14:paraId="1B907523">
      <w:pPr>
        <w:ind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度重视税务规范性文件的制定和管理，为保障税收法律、法规和规章的正确执行以及制定的税收规范性文件合法、有效，凡是制定税收规范性文件，必须经法制部门进行合法性审核、合规性评估，切实做到提高税收制度建设质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2021年积极配合各项文件清理工作，未制定新的规范性文件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C8F8B9E">
      <w:pPr>
        <w:pStyle w:val="5"/>
        <w:numPr>
          <w:ilvl w:val="0"/>
          <w:numId w:val="1"/>
        </w:numPr>
        <w:adjustRightInd w:val="0"/>
        <w:ind w:left="0" w:leftChars="0"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健全行政决策制度体系，持续推进依法科学民主决策</w:t>
      </w:r>
    </w:p>
    <w:p w14:paraId="417B0482">
      <w:pPr>
        <w:pStyle w:val="5"/>
        <w:numPr>
          <w:ilvl w:val="0"/>
          <w:numId w:val="0"/>
        </w:numPr>
        <w:adjustRightInd w:val="0"/>
        <w:ind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一是继续</w:t>
      </w:r>
      <w:r>
        <w:rPr>
          <w:rFonts w:hint="eastAsia" w:ascii="仿宋_GB2312" w:hAnsi="宋体" w:eastAsia="仿宋_GB2312" w:cs="宋体"/>
          <w:sz w:val="32"/>
          <w:szCs w:val="32"/>
        </w:rPr>
        <w:t>落实依法决策机制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由局领导和各单位负责人作为成员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组成</w:t>
      </w:r>
      <w:r>
        <w:rPr>
          <w:rFonts w:hint="eastAsia" w:ascii="仿宋_GB2312" w:hAnsi="宋体" w:eastAsia="仿宋_GB2312" w:cs="宋体"/>
          <w:sz w:val="32"/>
          <w:szCs w:val="32"/>
        </w:rPr>
        <w:t>依法行政工作领导小组共同议事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sz w:val="32"/>
          <w:szCs w:val="32"/>
        </w:rPr>
        <w:t>依法作出重大决策和工作部署。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二是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t>全面履行领导责任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，确定应当由党委讨论和决定的重要事项。三是</w:t>
      </w:r>
      <w:r>
        <w:rPr>
          <w:rFonts w:hint="eastAsia" w:ascii="仿宋_GB2312" w:hAnsi="宋体" w:eastAsia="仿宋_GB2312" w:cs="宋体"/>
          <w:sz w:val="32"/>
          <w:szCs w:val="32"/>
        </w:rPr>
        <w:t>党委委员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继续</w:t>
      </w:r>
      <w:r>
        <w:rPr>
          <w:rFonts w:hint="eastAsia" w:ascii="仿宋_GB2312" w:hAnsi="宋体" w:eastAsia="仿宋_GB2312" w:cs="宋体"/>
          <w:sz w:val="32"/>
          <w:szCs w:val="32"/>
        </w:rPr>
        <w:t>认真落实基层联系点工作制度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，确保能够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t>广泛听取意见，掌握实际情况，研究和解决实际问题。</w:t>
      </w:r>
    </w:p>
    <w:p w14:paraId="550014BC">
      <w:pPr>
        <w:pStyle w:val="5"/>
        <w:numPr>
          <w:ilvl w:val="0"/>
          <w:numId w:val="1"/>
        </w:numPr>
        <w:adjustRightInd w:val="0"/>
        <w:ind w:left="0" w:leftChars="0"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健全行政执法工作体系，坚持严格规范公正文明执法</w:t>
      </w:r>
    </w:p>
    <w:p w14:paraId="09C8CC38">
      <w:pPr>
        <w:pStyle w:val="5"/>
        <w:adjustRightInd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严格规范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“首违不罚”事项清单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按照上级文件要求</w:t>
      </w:r>
      <w:r>
        <w:rPr>
          <w:rFonts w:hint="eastAsia" w:ascii="仿宋_GB2312" w:eastAsia="仿宋_GB2312"/>
          <w:sz w:val="32"/>
          <w:szCs w:val="32"/>
        </w:rPr>
        <w:t>对纳税人的违法违章行为准确定性和处罚，做到合法裁量、合理裁量、公正裁量</w:t>
      </w:r>
      <w:r>
        <w:rPr>
          <w:rFonts w:hint="eastAsia" w:ascii="仿宋_GB2312" w:eastAsia="仿宋_GB2312"/>
          <w:sz w:val="32"/>
          <w:szCs w:val="32"/>
          <w:lang w:eastAsia="zh-CN"/>
        </w:rPr>
        <w:t>，坚决维护纳税人缴费人的合法权益。</w:t>
      </w:r>
      <w:r>
        <w:rPr>
          <w:rFonts w:hint="eastAsia" w:ascii="仿宋_GB2312" w:eastAsia="仿宋_GB2312"/>
          <w:sz w:val="32"/>
          <w:szCs w:val="32"/>
        </w:rPr>
        <w:t>把准执法尺度，创新执法方式，</w:t>
      </w:r>
      <w:r>
        <w:rPr>
          <w:rFonts w:hint="eastAsia" w:ascii="仿宋_GB2312" w:eastAsia="仿宋_GB2312"/>
          <w:sz w:val="32"/>
          <w:szCs w:val="32"/>
          <w:lang w:eastAsia="zh-CN"/>
        </w:rPr>
        <w:t>拟订行政处罚文书参考模板，确保公正文明执法，</w:t>
      </w:r>
      <w:r>
        <w:rPr>
          <w:rFonts w:hint="eastAsia" w:ascii="仿宋_GB2312" w:eastAsia="仿宋_GB2312"/>
          <w:sz w:val="32"/>
          <w:szCs w:val="32"/>
        </w:rPr>
        <w:t>切实降低税收执法风险。</w:t>
      </w:r>
    </w:p>
    <w:p w14:paraId="7CAF6E73">
      <w:pPr>
        <w:pStyle w:val="5"/>
        <w:numPr>
          <w:ilvl w:val="0"/>
          <w:numId w:val="1"/>
        </w:numPr>
        <w:adjustRightInd w:val="0"/>
        <w:ind w:left="0" w:leftChars="0"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健全突发事件应对体系，依法预防处置重大突发事件</w:t>
      </w:r>
    </w:p>
    <w:p w14:paraId="6F352534">
      <w:pPr>
        <w:ind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一是建立</w:t>
      </w:r>
      <w:r>
        <w:rPr>
          <w:rFonts w:hint="eastAsia" w:ascii="仿宋_GB2312" w:hAnsi="仿宋" w:eastAsia="仿宋_GB2312" w:cs="Times New Roman"/>
          <w:sz w:val="32"/>
          <w:szCs w:val="32"/>
        </w:rPr>
        <w:t>重大突发事项报告制度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，按照制度规定对突发事件进行及时、全面、准确的报告。二是制定突发事件应急预案，按照应急预案对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突然发生，需要立即采取应对措施加以妥善处理的紧急事件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进行处理。</w:t>
      </w:r>
    </w:p>
    <w:p w14:paraId="7C6F070A">
      <w:pPr>
        <w:pStyle w:val="5"/>
        <w:numPr>
          <w:ilvl w:val="0"/>
          <w:numId w:val="1"/>
        </w:numPr>
        <w:adjustRightInd w:val="0"/>
        <w:ind w:left="0" w:leftChars="0"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健全社会矛盾纠纷行政预防调处化解体系，完善权利救济和纠纷化解机制</w:t>
      </w:r>
    </w:p>
    <w:p w14:paraId="059B88C4">
      <w:pPr>
        <w:pStyle w:val="5"/>
        <w:numPr>
          <w:ilvl w:val="0"/>
          <w:numId w:val="0"/>
        </w:numPr>
        <w:adjustRightInd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一是严格把关重大税务案件审理。</w:t>
      </w:r>
      <w:r>
        <w:rPr>
          <w:rFonts w:hint="eastAsia" w:ascii="仿宋_GB2312" w:eastAsia="仿宋_GB2312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积极拓宽纠纷化解渠道，将争议解决在前。</w:t>
      </w:r>
      <w:r>
        <w:rPr>
          <w:rFonts w:hint="eastAsia" w:ascii="仿宋_GB2312" w:eastAsia="仿宋_GB2312"/>
          <w:sz w:val="32"/>
          <w:szCs w:val="32"/>
          <w:lang w:eastAsia="zh-CN"/>
        </w:rPr>
        <w:t>三是在全局范围内</w:t>
      </w:r>
      <w:r>
        <w:rPr>
          <w:rFonts w:hint="eastAsia" w:ascii="仿宋_GB2312" w:eastAsia="仿宋_GB2312"/>
          <w:sz w:val="32"/>
          <w:szCs w:val="32"/>
        </w:rPr>
        <w:t>开展“不满意，请找我”专项行动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按照“1+4+9”模式设置专窗、专线、专岗，化“投诉”为“沟通”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及时高效解决各类涉税问题。</w:t>
      </w:r>
    </w:p>
    <w:p w14:paraId="2DFC3677">
      <w:pPr>
        <w:pStyle w:val="5"/>
        <w:numPr>
          <w:ilvl w:val="0"/>
          <w:numId w:val="1"/>
        </w:numPr>
        <w:adjustRightInd w:val="0"/>
        <w:ind w:left="0" w:leftChars="0"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健全</w:t>
      </w:r>
      <w:r>
        <w:rPr>
          <w:rFonts w:hint="eastAsia" w:ascii="楷体" w:hAnsi="楷体" w:eastAsia="楷体" w:cs="宋体"/>
          <w:sz w:val="32"/>
          <w:szCs w:val="32"/>
          <w:lang w:eastAsia="zh-CN"/>
        </w:rPr>
        <w:t>行政权力</w:t>
      </w:r>
      <w:r>
        <w:rPr>
          <w:rFonts w:hint="eastAsia" w:ascii="楷体" w:hAnsi="楷体" w:eastAsia="楷体" w:cs="宋体"/>
          <w:sz w:val="32"/>
          <w:szCs w:val="32"/>
        </w:rPr>
        <w:t>制约和监督体系，全面推进政务公开</w:t>
      </w:r>
    </w:p>
    <w:p w14:paraId="61FD79A2">
      <w:pPr>
        <w:widowControl/>
        <w:ind w:firstLine="640" w:firstLineChars="200"/>
        <w:jc w:val="left"/>
        <w:rPr>
          <w:rFonts w:hint="eastAsia" w:ascii="仿宋_GB2312" w:eastAsia="微软雅黑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对照政府信息公开工作的要求</w:t>
      </w:r>
      <w:r>
        <w:rPr>
          <w:rFonts w:hint="eastAsia" w:ascii="仿宋_GB2312" w:eastAsia="仿宋_GB2312"/>
          <w:sz w:val="32"/>
          <w:szCs w:val="32"/>
          <w:lang w:eastAsia="zh-CN"/>
        </w:rPr>
        <w:t>在政府网站公示涉及</w:t>
      </w:r>
      <w:r>
        <w:rPr>
          <w:rFonts w:hint="eastAsia" w:ascii="仿宋_GB2312" w:eastAsia="仿宋_GB2312"/>
          <w:sz w:val="32"/>
          <w:szCs w:val="32"/>
        </w:rPr>
        <w:t>本局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信息。</w:t>
      </w:r>
      <w:r>
        <w:rPr>
          <w:rFonts w:hint="eastAsia" w:ascii="仿宋_GB2312" w:eastAsia="仿宋_GB2312"/>
          <w:sz w:val="32"/>
          <w:szCs w:val="32"/>
          <w:lang w:eastAsia="zh-CN"/>
        </w:rPr>
        <w:t>二是及时在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新疆税务执法信息公示平台内</w:t>
      </w:r>
      <w:r>
        <w:rPr>
          <w:rFonts w:hint="eastAsia" w:ascii="仿宋_GB2312" w:eastAsia="仿宋_GB2312"/>
          <w:sz w:val="32"/>
          <w:szCs w:val="32"/>
          <w:lang w:eastAsia="zh-CN"/>
        </w:rPr>
        <w:t>公示纳税人权利和义务、</w:t>
      </w:r>
      <w:r>
        <w:rPr>
          <w:rFonts w:hint="eastAsia" w:ascii="仿宋_GB2312" w:eastAsia="仿宋_GB2312"/>
          <w:sz w:val="32"/>
          <w:szCs w:val="32"/>
        </w:rPr>
        <w:t>受理纳税人投诉举报检举途径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法律救济渠道</w:t>
      </w:r>
      <w:r>
        <w:rPr>
          <w:rFonts w:hint="eastAsia" w:ascii="仿宋_GB2312" w:eastAsia="仿宋_GB2312"/>
          <w:sz w:val="32"/>
          <w:szCs w:val="32"/>
          <w:lang w:eastAsia="zh-CN"/>
        </w:rPr>
        <w:t>，确定政务公开、纳税服务投诉、税收违法行为检举、税务机关及人员税收违法行为举报等一系列事项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的受理部门和联系方式，进一步完善行政权力制约监督体系。</w:t>
      </w:r>
    </w:p>
    <w:p w14:paraId="4B3D8292">
      <w:pPr>
        <w:pStyle w:val="5"/>
        <w:numPr>
          <w:ilvl w:val="0"/>
          <w:numId w:val="1"/>
        </w:numPr>
        <w:adjustRightInd w:val="0"/>
        <w:ind w:left="0" w:leftChars="0"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健全法治政府建设科技保障体系，推进智慧税务创新落实</w:t>
      </w:r>
    </w:p>
    <w:p w14:paraId="6C28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扎实开展电子签章推广测试工作，丰富电子签章在各税收业务领域应用场景，持续提升“非接触式”办税缴费能力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。配合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上级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完善系统功能、优化采集流程，就数据查询、数据导出和采集方式等提出优化建议16条，助力全疆智慧税务取得新的实质突破。</w:t>
      </w:r>
    </w:p>
    <w:p w14:paraId="423AC55B">
      <w:pPr>
        <w:pStyle w:val="5"/>
        <w:numPr>
          <w:ilvl w:val="0"/>
          <w:numId w:val="1"/>
        </w:numPr>
        <w:adjustRightInd w:val="0"/>
        <w:ind w:left="0" w:leftChars="0" w:firstLine="640" w:firstLineChars="2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加强党的领导，健全依法行政领导体制机制</w:t>
      </w:r>
    </w:p>
    <w:p w14:paraId="45756B1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“依法行政领导小组”</w:t>
      </w:r>
      <w:r>
        <w:rPr>
          <w:rFonts w:hint="eastAsia" w:ascii="仿宋_GB2312" w:eastAsia="仿宋_GB2312"/>
          <w:sz w:val="32"/>
          <w:szCs w:val="32"/>
          <w:lang w:eastAsia="zh-CN"/>
        </w:rPr>
        <w:t>继续发挥作用</w:t>
      </w:r>
      <w:r>
        <w:rPr>
          <w:rFonts w:hint="eastAsia" w:ascii="仿宋_GB2312" w:eastAsia="仿宋_GB2312"/>
          <w:sz w:val="32"/>
          <w:szCs w:val="32"/>
        </w:rPr>
        <w:t>，从</w:t>
      </w:r>
      <w:r>
        <w:rPr>
          <w:rFonts w:hint="eastAsia" w:ascii="仿宋_GB2312" w:eastAsia="仿宋_GB2312"/>
          <w:sz w:val="32"/>
          <w:szCs w:val="32"/>
          <w:lang w:eastAsia="zh-CN"/>
        </w:rPr>
        <w:t>源头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“带好队伍、干好税务”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eastAsia="zh-CN"/>
        </w:rPr>
        <w:t>，确保</w:t>
      </w:r>
      <w:r>
        <w:rPr>
          <w:rFonts w:hint="eastAsia" w:ascii="仿宋_GB2312" w:eastAsia="仿宋_GB2312"/>
          <w:sz w:val="32"/>
          <w:szCs w:val="32"/>
        </w:rPr>
        <w:t>依法行政工作的实施。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>集体研究依法行政工作重大问题，作出全面推进依法行政重大决策部署。</w:t>
      </w:r>
    </w:p>
    <w:p w14:paraId="5A9AD448">
      <w:pPr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二、工作成效</w:t>
      </w:r>
    </w:p>
    <w:p w14:paraId="23AA3392">
      <w:pPr>
        <w:ind w:firstLine="660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宋体"/>
          <w:sz w:val="32"/>
          <w:szCs w:val="32"/>
          <w:highlight w:val="none"/>
        </w:rPr>
        <w:t>创新</w:t>
      </w:r>
      <w:r>
        <w:rPr>
          <w:rFonts w:hint="eastAsia" w:ascii="楷体" w:hAnsi="楷体" w:eastAsia="楷体" w:cs="宋体"/>
          <w:sz w:val="32"/>
          <w:szCs w:val="32"/>
          <w:highlight w:val="none"/>
          <w:lang w:eastAsia="zh-CN"/>
        </w:rPr>
        <w:t>工作</w:t>
      </w:r>
      <w:r>
        <w:rPr>
          <w:rFonts w:hint="eastAsia" w:ascii="楷体" w:hAnsi="楷体" w:eastAsia="楷体" w:cs="宋体"/>
          <w:sz w:val="32"/>
          <w:szCs w:val="32"/>
          <w:highlight w:val="none"/>
        </w:rPr>
        <w:t>方法</w:t>
      </w:r>
      <w:r>
        <w:rPr>
          <w:rFonts w:hint="eastAsia" w:ascii="楷体" w:hAnsi="楷体" w:eastAsia="楷体" w:cs="宋体"/>
          <w:sz w:val="32"/>
          <w:szCs w:val="32"/>
          <w:highlight w:val="none"/>
          <w:lang w:eastAsia="zh-CN"/>
        </w:rPr>
        <w:t>，</w:t>
      </w:r>
      <w:r>
        <w:rPr>
          <w:rFonts w:hint="eastAsia" w:ascii="楷体" w:hAnsi="楷体" w:eastAsia="楷体" w:cs="宋体"/>
          <w:sz w:val="32"/>
          <w:szCs w:val="32"/>
          <w:highlight w:val="none"/>
        </w:rPr>
        <w:t>提升税务执法精确度</w:t>
      </w:r>
      <w:r>
        <w:rPr>
          <w:rFonts w:hint="eastAsia" w:ascii="楷体" w:hAnsi="楷体" w:eastAsia="楷体" w:cs="宋体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>多次开展“首违不罚”专项培训，根据国家税务总局发布的“首违不罚”清单和新修订的《中华人民共和国行政处罚法》修改行政处罚文书模板，进一步确保我局“首违不罚”及其他各项处罚的实体和程序合法合规，助力提升税务执法精确度。</w:t>
      </w:r>
    </w:p>
    <w:p w14:paraId="13C71255">
      <w:pPr>
        <w:ind w:firstLine="640" w:firstLineChars="200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三、存在不足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及意见建议</w:t>
      </w:r>
    </w:p>
    <w:p w14:paraId="72574450">
      <w:pPr>
        <w:ind w:firstLine="66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进一步</w:t>
      </w:r>
      <w:r>
        <w:rPr>
          <w:rFonts w:hint="eastAsia" w:ascii="楷体" w:hAnsi="楷体" w:eastAsia="楷体"/>
          <w:sz w:val="32"/>
          <w:szCs w:val="32"/>
          <w:highlight w:val="none"/>
        </w:rPr>
        <w:t>加强法治宣传教育培训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进一步加强税务干部特别是领导干部的教育培训，普及《中华人民共和国行政处罚法》《中华人民共和国税收征收管理法》等法律法规。全面落实法制宣传各项要求，不断增强运用法律思维解决实际问题、处理矛盾纠纷的能力。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 w14:paraId="081C19C6">
      <w:pPr>
        <w:rPr>
          <w:rFonts w:ascii="仿宋_GB2312" w:hAnsi="宋体" w:eastAsia="仿宋_GB2312" w:cs="宋体"/>
          <w:color w:val="000000"/>
          <w:sz w:val="32"/>
          <w:szCs w:val="32"/>
          <w:highlight w:val="yellow"/>
        </w:rPr>
      </w:pPr>
    </w:p>
    <w:p w14:paraId="577DAD45">
      <w:pPr>
        <w:ind w:firstLine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国家税务总局乌鲁木齐高新技术产业</w:t>
      </w:r>
    </w:p>
    <w:p w14:paraId="52565A5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高新</w:t>
      </w:r>
      <w:r>
        <w:rPr>
          <w:rFonts w:hint="eastAsia" w:ascii="仿宋_GB2312" w:eastAsia="仿宋_GB2312"/>
          <w:sz w:val="32"/>
          <w:szCs w:val="32"/>
        </w:rPr>
        <w:t>区（新市区）税务局</w:t>
      </w:r>
    </w:p>
    <w:p w14:paraId="596240DF">
      <w:pPr>
        <w:jc w:val="center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5410769">
      <w:pPr>
        <w:pStyle w:val="5"/>
        <w:numPr>
          <w:ilvl w:val="0"/>
          <w:numId w:val="0"/>
        </w:numPr>
        <w:adjustRightInd w:val="0"/>
        <w:ind w:leftChars="200"/>
        <w:rPr>
          <w:rFonts w:hint="eastAsia" w:ascii="楷体" w:hAnsi="楷体" w:eastAsia="楷体" w:cs="宋体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92461"/>
    <w:multiLevelType w:val="singleLevel"/>
    <w:tmpl w:val="847924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64F8"/>
    <w:rsid w:val="007A7878"/>
    <w:rsid w:val="020F5C0F"/>
    <w:rsid w:val="035C45E1"/>
    <w:rsid w:val="0446441C"/>
    <w:rsid w:val="04866E37"/>
    <w:rsid w:val="05B40C9C"/>
    <w:rsid w:val="070E20E8"/>
    <w:rsid w:val="072C245A"/>
    <w:rsid w:val="07DE0245"/>
    <w:rsid w:val="08A202DE"/>
    <w:rsid w:val="0B2636A2"/>
    <w:rsid w:val="0BB86C5E"/>
    <w:rsid w:val="0BF42DDB"/>
    <w:rsid w:val="0C637CBD"/>
    <w:rsid w:val="0EBF7175"/>
    <w:rsid w:val="0FAA249E"/>
    <w:rsid w:val="1122322D"/>
    <w:rsid w:val="1331788D"/>
    <w:rsid w:val="14F90506"/>
    <w:rsid w:val="150F255F"/>
    <w:rsid w:val="161F1755"/>
    <w:rsid w:val="1691421E"/>
    <w:rsid w:val="16C96002"/>
    <w:rsid w:val="16F62957"/>
    <w:rsid w:val="175C406B"/>
    <w:rsid w:val="17E27424"/>
    <w:rsid w:val="1805083D"/>
    <w:rsid w:val="194F66AB"/>
    <w:rsid w:val="1A4E62B9"/>
    <w:rsid w:val="1D203F75"/>
    <w:rsid w:val="1E007694"/>
    <w:rsid w:val="1EBA3E09"/>
    <w:rsid w:val="1F6F3C51"/>
    <w:rsid w:val="216757F9"/>
    <w:rsid w:val="21E238D4"/>
    <w:rsid w:val="220820DE"/>
    <w:rsid w:val="22AE3A37"/>
    <w:rsid w:val="23470471"/>
    <w:rsid w:val="23A30DD5"/>
    <w:rsid w:val="26AE5955"/>
    <w:rsid w:val="276F3B80"/>
    <w:rsid w:val="2BCF713E"/>
    <w:rsid w:val="2C602BF5"/>
    <w:rsid w:val="2D126700"/>
    <w:rsid w:val="2DED4BD4"/>
    <w:rsid w:val="3046491B"/>
    <w:rsid w:val="30834D7A"/>
    <w:rsid w:val="30AE51A0"/>
    <w:rsid w:val="32DC7BF5"/>
    <w:rsid w:val="34280CAB"/>
    <w:rsid w:val="34DE5F2F"/>
    <w:rsid w:val="3757688E"/>
    <w:rsid w:val="37BD508A"/>
    <w:rsid w:val="37EE146B"/>
    <w:rsid w:val="39576731"/>
    <w:rsid w:val="3B255EDD"/>
    <w:rsid w:val="3B3C3941"/>
    <w:rsid w:val="3C636040"/>
    <w:rsid w:val="3E146573"/>
    <w:rsid w:val="3EF55C38"/>
    <w:rsid w:val="3F3600DD"/>
    <w:rsid w:val="3F5C5632"/>
    <w:rsid w:val="407B1ED6"/>
    <w:rsid w:val="41A65EAF"/>
    <w:rsid w:val="42F03BBF"/>
    <w:rsid w:val="42FF5A0D"/>
    <w:rsid w:val="431C7974"/>
    <w:rsid w:val="441D7527"/>
    <w:rsid w:val="444516C2"/>
    <w:rsid w:val="456B2FA1"/>
    <w:rsid w:val="457664C5"/>
    <w:rsid w:val="45EE4974"/>
    <w:rsid w:val="46D70F83"/>
    <w:rsid w:val="47DC0B38"/>
    <w:rsid w:val="48123AC8"/>
    <w:rsid w:val="484B126C"/>
    <w:rsid w:val="493C30B1"/>
    <w:rsid w:val="4A4D2B52"/>
    <w:rsid w:val="4AC65C33"/>
    <w:rsid w:val="4AE04C81"/>
    <w:rsid w:val="4AE6288D"/>
    <w:rsid w:val="4B913C55"/>
    <w:rsid w:val="4FE9181A"/>
    <w:rsid w:val="50560E40"/>
    <w:rsid w:val="521033F7"/>
    <w:rsid w:val="53592A62"/>
    <w:rsid w:val="5407378E"/>
    <w:rsid w:val="542E1C4D"/>
    <w:rsid w:val="56955D27"/>
    <w:rsid w:val="570136F4"/>
    <w:rsid w:val="595321AE"/>
    <w:rsid w:val="5A410E2B"/>
    <w:rsid w:val="5A5E7A10"/>
    <w:rsid w:val="5BD37C00"/>
    <w:rsid w:val="5C8C5F6D"/>
    <w:rsid w:val="5CA673DC"/>
    <w:rsid w:val="5D551D19"/>
    <w:rsid w:val="5E823A22"/>
    <w:rsid w:val="5EE063ED"/>
    <w:rsid w:val="5F4D0B3D"/>
    <w:rsid w:val="5F8A4FA0"/>
    <w:rsid w:val="5FD5076E"/>
    <w:rsid w:val="622A5EA2"/>
    <w:rsid w:val="6463555E"/>
    <w:rsid w:val="656D0E90"/>
    <w:rsid w:val="66811941"/>
    <w:rsid w:val="680A6E4E"/>
    <w:rsid w:val="68523457"/>
    <w:rsid w:val="68CB1D67"/>
    <w:rsid w:val="692A46D1"/>
    <w:rsid w:val="6BAA4B43"/>
    <w:rsid w:val="6CC57538"/>
    <w:rsid w:val="74802E46"/>
    <w:rsid w:val="750653E6"/>
    <w:rsid w:val="755F17E0"/>
    <w:rsid w:val="75913357"/>
    <w:rsid w:val="76270080"/>
    <w:rsid w:val="785A3371"/>
    <w:rsid w:val="79C01248"/>
    <w:rsid w:val="7AB01CE4"/>
    <w:rsid w:val="7B6115A7"/>
    <w:rsid w:val="7BB27E70"/>
    <w:rsid w:val="7D7816A4"/>
    <w:rsid w:val="7EE974EE"/>
    <w:rsid w:val="7FB2108C"/>
    <w:rsid w:val="7FD4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cs="宋体"/>
      <w:b/>
      <w:bCs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Plain Text"/>
    <w:basedOn w:val="1"/>
    <w:unhideWhenUsed/>
    <w:qFormat/>
    <w:uiPriority w:val="0"/>
    <w:rPr>
      <w:rFonts w:ascii="宋体" w:hAnsi="Courier New" w:cs="Courier New" w:eastAsiaTheme="minorEastAsia"/>
      <w:szCs w:val="21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1843</Words>
  <Characters>1867</Characters>
  <Lines>0</Lines>
  <Paragraphs>0</Paragraphs>
  <TotalTime>3</TotalTime>
  <ScaleCrop>false</ScaleCrop>
  <LinksUpToDate>false</LinksUpToDate>
  <CharactersWithSpaces>1870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峰</cp:lastModifiedBy>
  <dcterms:modified xsi:type="dcterms:W3CDTF">2024-11-25T10:30:07Z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EFEF4076A91345D2B1C2287D76206825_12</vt:lpwstr>
  </property>
</Properties>
</file>