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73FF8">
      <w:pPr>
        <w:shd w:val="clear" w:color="auto" w:fill="FFFFFF"/>
        <w:spacing w:before="240" w:beforeLines="0" w:after="240" w:afterLines="0"/>
        <w:jc w:val="center"/>
        <w:rPr>
          <w:rFonts w:hint="eastAsia"/>
          <w:kern w:val="36"/>
          <w:sz w:val="40"/>
          <w:szCs w:val="24"/>
          <w:lang w:val="zh-CN"/>
        </w:rPr>
      </w:pPr>
    </w:p>
    <w:p w14:paraId="00355F9B">
      <w:pPr>
        <w:shd w:val="clear" w:color="auto" w:fill="FFFFFF"/>
        <w:spacing w:before="240" w:beforeLines="0" w:after="240" w:afterLines="0"/>
        <w:jc w:val="center"/>
        <w:rPr>
          <w:rFonts w:hint="eastAsia"/>
          <w:kern w:val="36"/>
          <w:sz w:val="40"/>
          <w:szCs w:val="24"/>
          <w:lang w:val="zh-CN"/>
        </w:rPr>
      </w:pPr>
    </w:p>
    <w:p w14:paraId="17235A79">
      <w:pPr>
        <w:spacing w:beforeLines="0" w:afterLines="0"/>
        <w:jc w:val="center"/>
        <w:rPr>
          <w:rFonts w:hint="eastAsia" w:ascii="方正小标宋_GBK" w:hAnsi="方正小标宋_GBK" w:eastAsia="方正小标宋_GBK"/>
          <w:sz w:val="44"/>
          <w:szCs w:val="24"/>
          <w:lang w:val="en-US"/>
        </w:rPr>
      </w:pPr>
      <w:r>
        <w:rPr>
          <w:rFonts w:hint="eastAsia" w:ascii="方正小标宋_GBK" w:hAnsi="方正小标宋_GBK" w:eastAsia="方正小标宋_GBK"/>
          <w:sz w:val="44"/>
          <w:szCs w:val="24"/>
          <w:lang w:val="en-US"/>
        </w:rPr>
        <w:t>乌鲁木齐高新技术产业开发区（乌鲁木齐市新市区）园林管理局</w:t>
      </w:r>
    </w:p>
    <w:p w14:paraId="73A9F628">
      <w:pPr>
        <w:spacing w:beforeLines="0" w:afterLines="0"/>
        <w:jc w:val="center"/>
        <w:rPr>
          <w:rFonts w:hint="eastAsia"/>
          <w:kern w:val="36"/>
          <w:sz w:val="40"/>
          <w:szCs w:val="24"/>
          <w:lang w:val="zh-CN"/>
        </w:rPr>
      </w:pPr>
      <w:r>
        <w:rPr>
          <w:rFonts w:hint="eastAsia" w:ascii="方正小标宋_GBK" w:hAnsi="方正小标宋_GBK" w:eastAsia="方正小标宋_GBK"/>
          <w:sz w:val="44"/>
          <w:szCs w:val="24"/>
          <w:lang w:val="en-US"/>
        </w:rPr>
        <w:t>2021年度部门决算公开说明</w:t>
      </w:r>
    </w:p>
    <w:p w14:paraId="77853239">
      <w:pPr>
        <w:shd w:val="clear" w:color="auto" w:fill="FFFFFF"/>
        <w:spacing w:before="240" w:beforeLines="0" w:after="240" w:afterLines="0"/>
        <w:rPr>
          <w:rFonts w:hint="eastAsia"/>
          <w:kern w:val="36"/>
          <w:sz w:val="40"/>
          <w:szCs w:val="24"/>
          <w:lang w:val="zh-CN"/>
        </w:rPr>
      </w:pPr>
    </w:p>
    <w:p w14:paraId="3A222EBB">
      <w:pPr>
        <w:spacing w:beforeLines="0" w:afterLines="0" w:line="540" w:lineRule="exact"/>
        <w:jc w:val="center"/>
        <w:rPr>
          <w:rFonts w:hint="eastAsia"/>
          <w:b/>
          <w:kern w:val="0"/>
          <w:sz w:val="24"/>
          <w:szCs w:val="24"/>
          <w:lang w:val="en-US"/>
        </w:rPr>
      </w:pPr>
      <w:r>
        <w:rPr>
          <w:rFonts w:hint="eastAsia"/>
          <w:b/>
          <w:kern w:val="36"/>
          <w:sz w:val="36"/>
          <w:szCs w:val="24"/>
          <w:lang w:val="en-US"/>
        </w:rPr>
        <w:br w:type="page"/>
      </w:r>
      <w:r>
        <w:rPr>
          <w:rFonts w:hint="eastAsia" w:ascii="仿宋_GB2312" w:hAnsi="仿宋_GB2312" w:eastAsia="仿宋_GB2312"/>
          <w:b/>
          <w:kern w:val="0"/>
          <w:sz w:val="36"/>
          <w:szCs w:val="24"/>
          <w:lang w:val="en-US"/>
        </w:rPr>
        <w:t>目  录</w:t>
      </w:r>
    </w:p>
    <w:p w14:paraId="128EC9FE">
      <w:pPr>
        <w:spacing w:beforeLines="0" w:afterLines="0" w:line="540" w:lineRule="exact"/>
        <w:rPr>
          <w:rFonts w:hint="eastAsia"/>
          <w:kern w:val="0"/>
          <w:sz w:val="32"/>
          <w:szCs w:val="24"/>
          <w:lang w:val="en-US"/>
        </w:rPr>
      </w:pPr>
      <w:r>
        <w:rPr>
          <w:rFonts w:hint="eastAsia" w:ascii="仿宋_GB2312" w:hAnsi="仿宋_GB2312" w:eastAsia="仿宋_GB2312"/>
          <w:b/>
          <w:kern w:val="0"/>
          <w:sz w:val="32"/>
          <w:szCs w:val="24"/>
          <w:lang w:val="en-US"/>
        </w:rPr>
        <w:t>第一部分 部门单位概况</w:t>
      </w:r>
    </w:p>
    <w:p w14:paraId="68839CDF">
      <w:pPr>
        <w:spacing w:beforeLines="0" w:afterLines="0" w:line="540" w:lineRule="exact"/>
        <w:rPr>
          <w:rFonts w:hint="eastAsia"/>
          <w:kern w:val="0"/>
          <w:sz w:val="32"/>
          <w:szCs w:val="24"/>
          <w:lang w:val="en-US"/>
        </w:rPr>
      </w:pPr>
      <w:r>
        <w:rPr>
          <w:rFonts w:hint="eastAsia" w:ascii="仿宋_GB2312" w:hAnsi="仿宋_GB2312" w:eastAsia="仿宋_GB2312"/>
          <w:kern w:val="0"/>
          <w:sz w:val="32"/>
          <w:szCs w:val="24"/>
          <w:lang w:val="en-US"/>
        </w:rPr>
        <w:t>一、主要职能</w:t>
      </w:r>
    </w:p>
    <w:p w14:paraId="1846C5C6">
      <w:pPr>
        <w:spacing w:beforeLines="0" w:afterLines="0" w:line="540" w:lineRule="exact"/>
        <w:rPr>
          <w:rFonts w:hint="eastAsia"/>
          <w:kern w:val="0"/>
          <w:sz w:val="32"/>
          <w:szCs w:val="24"/>
          <w:lang w:val="en-US"/>
        </w:rPr>
      </w:pPr>
      <w:r>
        <w:rPr>
          <w:rFonts w:hint="eastAsia" w:ascii="仿宋_GB2312" w:hAnsi="仿宋_GB2312" w:eastAsia="仿宋_GB2312"/>
          <w:kern w:val="0"/>
          <w:sz w:val="32"/>
          <w:szCs w:val="24"/>
          <w:lang w:val="en-US"/>
        </w:rPr>
        <w:t>二、</w:t>
      </w:r>
      <w:r>
        <w:rPr>
          <w:rFonts w:hint="eastAsia" w:ascii="仿宋_GB2312" w:hAnsi="仿宋_GB2312" w:eastAsia="仿宋_GB2312"/>
          <w:sz w:val="32"/>
          <w:szCs w:val="24"/>
          <w:lang w:val="en-US"/>
        </w:rPr>
        <w:t>机构设置及人员情况</w:t>
      </w:r>
    </w:p>
    <w:p w14:paraId="5C8333E6">
      <w:pPr>
        <w:spacing w:beforeLines="0" w:afterLines="0" w:line="540" w:lineRule="exact"/>
        <w:rPr>
          <w:rFonts w:hint="eastAsia"/>
          <w:kern w:val="0"/>
          <w:sz w:val="32"/>
          <w:szCs w:val="24"/>
          <w:lang w:val="en-US"/>
        </w:rPr>
      </w:pPr>
      <w:r>
        <w:rPr>
          <w:rFonts w:hint="eastAsia" w:ascii="仿宋_GB2312" w:hAnsi="仿宋_GB2312" w:eastAsia="仿宋_GB2312"/>
          <w:b/>
          <w:kern w:val="0"/>
          <w:sz w:val="32"/>
          <w:szCs w:val="24"/>
          <w:lang w:val="en-US"/>
        </w:rPr>
        <w:t>第二部分 部门决算情况说明</w:t>
      </w:r>
    </w:p>
    <w:p w14:paraId="03046FE7">
      <w:pPr>
        <w:spacing w:beforeLines="0" w:afterLines="0" w:line="540" w:lineRule="exact"/>
        <w:rPr>
          <w:rFonts w:hint="eastAsia"/>
          <w:sz w:val="32"/>
          <w:szCs w:val="24"/>
          <w:lang w:val="en-US"/>
        </w:rPr>
      </w:pPr>
      <w:r>
        <w:rPr>
          <w:rFonts w:hint="eastAsia" w:ascii="仿宋_GB2312" w:hAnsi="仿宋_GB2312" w:eastAsia="仿宋_GB2312"/>
          <w:sz w:val="32"/>
          <w:szCs w:val="24"/>
          <w:lang w:val="en-US"/>
        </w:rPr>
        <w:t>一、收入支出决算总体情况说明</w:t>
      </w:r>
    </w:p>
    <w:p w14:paraId="7D23CFCE">
      <w:pPr>
        <w:spacing w:beforeLines="0" w:afterLines="0" w:line="540" w:lineRule="exact"/>
        <w:rPr>
          <w:rFonts w:hint="eastAsia"/>
          <w:sz w:val="32"/>
          <w:szCs w:val="24"/>
          <w:lang w:val="en-US"/>
        </w:rPr>
      </w:pPr>
      <w:r>
        <w:rPr>
          <w:rFonts w:hint="eastAsia" w:ascii="仿宋_GB2312" w:hAnsi="仿宋_GB2312" w:eastAsia="仿宋_GB2312"/>
          <w:sz w:val="32"/>
          <w:szCs w:val="24"/>
          <w:lang w:val="en-US"/>
        </w:rPr>
        <w:t>二、收入决算情况说明</w:t>
      </w:r>
    </w:p>
    <w:p w14:paraId="2D1DE70B">
      <w:pPr>
        <w:spacing w:beforeLines="0" w:afterLines="0" w:line="540" w:lineRule="exact"/>
        <w:rPr>
          <w:rFonts w:hint="eastAsia"/>
          <w:sz w:val="32"/>
          <w:szCs w:val="24"/>
          <w:lang w:val="en-US"/>
        </w:rPr>
      </w:pPr>
      <w:r>
        <w:rPr>
          <w:rFonts w:hint="eastAsia" w:ascii="仿宋_GB2312" w:hAnsi="仿宋_GB2312" w:eastAsia="仿宋_GB2312"/>
          <w:sz w:val="32"/>
          <w:szCs w:val="24"/>
          <w:lang w:val="en-US"/>
        </w:rPr>
        <w:t>三、支出决算情况说明</w:t>
      </w:r>
    </w:p>
    <w:p w14:paraId="5695FBAD">
      <w:pPr>
        <w:spacing w:beforeLines="0" w:afterLines="0" w:line="540" w:lineRule="exact"/>
        <w:rPr>
          <w:rFonts w:hint="eastAsia"/>
          <w:sz w:val="32"/>
          <w:szCs w:val="24"/>
          <w:lang w:val="en-US"/>
        </w:rPr>
      </w:pPr>
      <w:r>
        <w:rPr>
          <w:rFonts w:hint="eastAsia" w:ascii="仿宋_GB2312" w:hAnsi="仿宋_GB2312" w:eastAsia="仿宋_GB2312"/>
          <w:sz w:val="32"/>
          <w:szCs w:val="24"/>
          <w:lang w:val="en-US"/>
        </w:rPr>
        <w:t>四、财政拨款收入支出决算总体情况说明</w:t>
      </w:r>
    </w:p>
    <w:p w14:paraId="5D809701">
      <w:pPr>
        <w:spacing w:beforeLines="0" w:afterLines="0" w:line="540" w:lineRule="exact"/>
        <w:rPr>
          <w:rFonts w:hint="eastAsia"/>
          <w:sz w:val="32"/>
          <w:szCs w:val="24"/>
          <w:lang w:val="en-US"/>
        </w:rPr>
      </w:pPr>
      <w:r>
        <w:rPr>
          <w:rFonts w:hint="eastAsia" w:ascii="仿宋_GB2312" w:hAnsi="仿宋_GB2312" w:eastAsia="仿宋_GB2312"/>
          <w:sz w:val="32"/>
          <w:szCs w:val="24"/>
          <w:lang w:val="en-US"/>
        </w:rPr>
        <w:t>五、一般公共预算财政拨款支出决算情况说明</w:t>
      </w:r>
    </w:p>
    <w:p w14:paraId="43FF05E8">
      <w:pPr>
        <w:spacing w:beforeLines="0" w:afterLines="0" w:line="540" w:lineRule="exact"/>
        <w:rPr>
          <w:rFonts w:hint="eastAsia"/>
          <w:sz w:val="32"/>
          <w:szCs w:val="24"/>
          <w:lang w:val="en-US"/>
        </w:rPr>
      </w:pPr>
      <w:r>
        <w:rPr>
          <w:rFonts w:hint="eastAsia" w:ascii="仿宋_GB2312" w:hAnsi="仿宋_GB2312" w:eastAsia="仿宋_GB2312"/>
          <w:sz w:val="32"/>
          <w:szCs w:val="24"/>
          <w:lang w:val="en-US"/>
        </w:rPr>
        <w:t>六、一般公共预算财政拨款基本支出决算情况说明</w:t>
      </w:r>
    </w:p>
    <w:p w14:paraId="1A81E806">
      <w:pPr>
        <w:spacing w:beforeLines="0" w:afterLines="0" w:line="540" w:lineRule="exact"/>
        <w:rPr>
          <w:rFonts w:hint="eastAsia"/>
          <w:sz w:val="32"/>
          <w:szCs w:val="24"/>
          <w:lang w:val="en-US"/>
        </w:rPr>
      </w:pPr>
      <w:r>
        <w:rPr>
          <w:rFonts w:hint="eastAsia" w:ascii="仿宋_GB2312" w:hAnsi="仿宋_GB2312" w:eastAsia="仿宋_GB2312"/>
          <w:sz w:val="32"/>
          <w:szCs w:val="24"/>
          <w:lang w:val="en-US"/>
        </w:rPr>
        <w:t>七、一般公共预算财政拨款“三公”经费支出决算情况说明</w:t>
      </w:r>
    </w:p>
    <w:p w14:paraId="15338D1C">
      <w:pPr>
        <w:spacing w:beforeLines="0" w:afterLines="0" w:line="540" w:lineRule="exact"/>
        <w:rPr>
          <w:rFonts w:hint="eastAsia"/>
          <w:sz w:val="32"/>
          <w:szCs w:val="24"/>
          <w:lang w:val="en-US"/>
        </w:rPr>
      </w:pPr>
      <w:r>
        <w:rPr>
          <w:rFonts w:hint="eastAsia" w:ascii="仿宋_GB2312" w:hAnsi="仿宋_GB2312" w:eastAsia="仿宋_GB2312"/>
          <w:sz w:val="32"/>
          <w:szCs w:val="24"/>
          <w:lang w:val="en-US"/>
        </w:rPr>
        <w:t>八、政府性基金预算</w:t>
      </w:r>
      <w:r>
        <w:rPr>
          <w:rFonts w:hint="eastAsia" w:ascii="仿宋_GB2312" w:hAnsi="仿宋_GB2312" w:eastAsia="仿宋_GB2312"/>
          <w:sz w:val="32"/>
          <w:szCs w:val="24"/>
          <w:lang w:val="zh-CN"/>
        </w:rPr>
        <w:t>财政拨款</w:t>
      </w:r>
      <w:r>
        <w:rPr>
          <w:rFonts w:hint="eastAsia" w:ascii="仿宋_GB2312" w:hAnsi="仿宋_GB2312" w:eastAsia="仿宋_GB2312"/>
          <w:sz w:val="32"/>
          <w:szCs w:val="24"/>
          <w:lang w:val="en-US"/>
        </w:rPr>
        <w:t>收入支出决算情况说明</w:t>
      </w:r>
    </w:p>
    <w:p w14:paraId="6CE69F7A">
      <w:pPr>
        <w:spacing w:beforeLines="0" w:afterLines="0" w:line="540" w:lineRule="exact"/>
        <w:rPr>
          <w:rFonts w:hint="eastAsia"/>
          <w:sz w:val="32"/>
          <w:szCs w:val="24"/>
          <w:lang w:val="en-US"/>
        </w:rPr>
      </w:pPr>
      <w:r>
        <w:rPr>
          <w:rFonts w:hint="eastAsia" w:ascii="仿宋_GB2312" w:hAnsi="仿宋_GB2312" w:eastAsia="仿宋_GB2312"/>
          <w:sz w:val="32"/>
          <w:szCs w:val="24"/>
          <w:lang w:val="en-US"/>
        </w:rPr>
        <w:t>九、国有资本经营预算财政拨款收入支出决算情况说明</w:t>
      </w:r>
    </w:p>
    <w:p w14:paraId="254CA214">
      <w:pPr>
        <w:spacing w:beforeLines="0" w:afterLines="0" w:line="540" w:lineRule="exact"/>
        <w:rPr>
          <w:rFonts w:hint="eastAsia"/>
          <w:sz w:val="32"/>
          <w:szCs w:val="24"/>
          <w:lang w:val="en-US"/>
        </w:rPr>
      </w:pPr>
      <w:r>
        <w:rPr>
          <w:rFonts w:hint="eastAsia" w:ascii="仿宋_GB2312" w:hAnsi="仿宋_GB2312" w:eastAsia="仿宋_GB2312"/>
          <w:sz w:val="32"/>
          <w:szCs w:val="24"/>
          <w:lang w:val="en-US"/>
        </w:rPr>
        <w:t>十、其他重要事项的情况说明</w:t>
      </w:r>
    </w:p>
    <w:p w14:paraId="6676D5E4">
      <w:pPr>
        <w:spacing w:beforeLines="0" w:afterLines="0" w:line="540" w:lineRule="exact"/>
        <w:rPr>
          <w:rFonts w:hint="eastAsia"/>
          <w:sz w:val="32"/>
          <w:szCs w:val="24"/>
          <w:lang w:val="en-US"/>
        </w:rPr>
      </w:pPr>
      <w:r>
        <w:rPr>
          <w:rFonts w:hint="eastAsia" w:ascii="仿宋_GB2312" w:hAnsi="仿宋_GB2312" w:eastAsia="仿宋_GB2312"/>
          <w:sz w:val="32"/>
          <w:szCs w:val="24"/>
          <w:lang w:val="en-US"/>
        </w:rPr>
        <w:t>（一）机关运行经费支出情况</w:t>
      </w:r>
    </w:p>
    <w:p w14:paraId="7A4A83EA">
      <w:pPr>
        <w:spacing w:beforeLines="0" w:afterLines="0" w:line="540" w:lineRule="exact"/>
        <w:rPr>
          <w:rFonts w:hint="eastAsia"/>
          <w:sz w:val="32"/>
          <w:szCs w:val="24"/>
          <w:lang w:val="en-US"/>
        </w:rPr>
      </w:pPr>
      <w:r>
        <w:rPr>
          <w:rFonts w:hint="eastAsia" w:ascii="仿宋_GB2312" w:hAnsi="仿宋_GB2312" w:eastAsia="仿宋_GB2312"/>
          <w:sz w:val="32"/>
          <w:szCs w:val="24"/>
          <w:lang w:val="en-US"/>
        </w:rPr>
        <w:t>（二）政府采购情况</w:t>
      </w:r>
    </w:p>
    <w:p w14:paraId="3AC93BCA">
      <w:pPr>
        <w:spacing w:beforeLines="0" w:afterLines="0" w:line="540" w:lineRule="exact"/>
        <w:rPr>
          <w:rFonts w:hint="eastAsia"/>
          <w:sz w:val="32"/>
          <w:szCs w:val="24"/>
          <w:lang w:val="en-US"/>
        </w:rPr>
      </w:pPr>
      <w:r>
        <w:rPr>
          <w:rFonts w:hint="eastAsia" w:ascii="仿宋_GB2312" w:hAnsi="仿宋_GB2312" w:eastAsia="仿宋_GB2312"/>
          <w:sz w:val="32"/>
          <w:szCs w:val="24"/>
          <w:lang w:val="en-US"/>
        </w:rPr>
        <w:t>（三）国有资产占用情况说明</w:t>
      </w:r>
    </w:p>
    <w:p w14:paraId="4FB6DB21">
      <w:pPr>
        <w:spacing w:beforeLines="0" w:afterLines="0" w:line="540" w:lineRule="exact"/>
        <w:rPr>
          <w:rFonts w:hint="eastAsia"/>
          <w:sz w:val="32"/>
          <w:szCs w:val="24"/>
          <w:lang w:val="en-US"/>
        </w:rPr>
      </w:pPr>
      <w:r>
        <w:rPr>
          <w:rFonts w:hint="eastAsia" w:ascii="仿宋_GB2312" w:hAnsi="仿宋_GB2312" w:eastAsia="仿宋_GB2312"/>
          <w:sz w:val="32"/>
          <w:szCs w:val="24"/>
          <w:lang w:val="en-US"/>
        </w:rPr>
        <w:t>十</w:t>
      </w:r>
      <w:r>
        <w:rPr>
          <w:rFonts w:hint="eastAsia" w:ascii="仿宋_GB2312" w:hAnsi="仿宋_GB2312" w:eastAsia="仿宋_GB2312"/>
          <w:sz w:val="32"/>
          <w:szCs w:val="24"/>
          <w:lang w:val="zh-CN"/>
        </w:rPr>
        <w:t>一</w:t>
      </w:r>
      <w:r>
        <w:rPr>
          <w:rFonts w:hint="eastAsia" w:ascii="仿宋_GB2312" w:hAnsi="仿宋_GB2312" w:eastAsia="仿宋_GB2312"/>
          <w:sz w:val="32"/>
          <w:szCs w:val="24"/>
          <w:lang w:val="en-US"/>
        </w:rPr>
        <w:t>、预算绩效的情况说明</w:t>
      </w:r>
    </w:p>
    <w:p w14:paraId="777B6503">
      <w:pPr>
        <w:spacing w:beforeLines="0" w:afterLines="0" w:line="540" w:lineRule="exact"/>
        <w:rPr>
          <w:rFonts w:hint="eastAsia"/>
          <w:b/>
          <w:kern w:val="0"/>
          <w:sz w:val="32"/>
          <w:szCs w:val="24"/>
          <w:lang w:val="en-US"/>
        </w:rPr>
      </w:pPr>
      <w:r>
        <w:rPr>
          <w:rFonts w:hint="eastAsia" w:ascii="仿宋_GB2312" w:hAnsi="仿宋_GB2312" w:eastAsia="仿宋_GB2312"/>
          <w:b/>
          <w:kern w:val="0"/>
          <w:sz w:val="32"/>
          <w:szCs w:val="24"/>
          <w:lang w:val="en-US"/>
        </w:rPr>
        <w:t>第三部分 专业名词解释</w:t>
      </w:r>
    </w:p>
    <w:p w14:paraId="79A0F181">
      <w:pPr>
        <w:spacing w:beforeLines="0" w:afterLines="0" w:line="540" w:lineRule="exact"/>
        <w:rPr>
          <w:rFonts w:hint="eastAsia"/>
          <w:b/>
          <w:kern w:val="0"/>
          <w:sz w:val="32"/>
          <w:szCs w:val="24"/>
          <w:lang w:val="en-US"/>
        </w:rPr>
      </w:pPr>
      <w:r>
        <w:rPr>
          <w:rFonts w:hint="eastAsia" w:ascii="仿宋_GB2312" w:hAnsi="仿宋_GB2312" w:eastAsia="仿宋_GB2312"/>
          <w:b/>
          <w:kern w:val="0"/>
          <w:sz w:val="32"/>
          <w:szCs w:val="24"/>
          <w:lang w:val="en-US"/>
        </w:rPr>
        <w:t>第四部分 部</w:t>
      </w:r>
      <w:r>
        <w:rPr>
          <w:rFonts w:hint="eastAsia" w:ascii="仿宋_GB2312" w:hAnsi="仿宋_GB2312" w:eastAsia="仿宋_GB2312"/>
          <w:b/>
          <w:sz w:val="32"/>
          <w:szCs w:val="24"/>
          <w:lang w:val="en-US"/>
        </w:rPr>
        <w:t>门决算报表（见附表）</w:t>
      </w:r>
    </w:p>
    <w:p w14:paraId="4810D23F">
      <w:pPr>
        <w:spacing w:beforeLines="0" w:afterLines="0" w:line="540" w:lineRule="exact"/>
        <w:rPr>
          <w:rFonts w:hint="eastAsia"/>
          <w:sz w:val="32"/>
          <w:szCs w:val="24"/>
          <w:lang w:val="en-US"/>
        </w:rPr>
      </w:pPr>
      <w:r>
        <w:rPr>
          <w:rFonts w:hint="eastAsia" w:ascii="仿宋_GB2312" w:hAnsi="仿宋_GB2312" w:eastAsia="仿宋_GB2312"/>
          <w:sz w:val="32"/>
          <w:szCs w:val="24"/>
          <w:lang w:val="en-US"/>
        </w:rPr>
        <w:t>一、《收入支出决算总表》</w:t>
      </w:r>
    </w:p>
    <w:p w14:paraId="41CEEA89">
      <w:pPr>
        <w:spacing w:beforeLines="0" w:afterLines="0" w:line="540" w:lineRule="exact"/>
        <w:rPr>
          <w:rFonts w:hint="eastAsia"/>
          <w:sz w:val="32"/>
          <w:szCs w:val="24"/>
          <w:lang w:val="en-US"/>
        </w:rPr>
      </w:pPr>
      <w:r>
        <w:rPr>
          <w:rFonts w:hint="eastAsia" w:ascii="仿宋_GB2312" w:hAnsi="仿宋_GB2312" w:eastAsia="仿宋_GB2312"/>
          <w:sz w:val="32"/>
          <w:szCs w:val="24"/>
          <w:lang w:val="en-US"/>
        </w:rPr>
        <w:t>二、《收入决算表》</w:t>
      </w:r>
    </w:p>
    <w:p w14:paraId="62722936">
      <w:pPr>
        <w:spacing w:beforeLines="0" w:afterLines="0" w:line="540" w:lineRule="exact"/>
        <w:rPr>
          <w:rFonts w:hint="eastAsia"/>
          <w:sz w:val="32"/>
          <w:szCs w:val="24"/>
          <w:lang w:val="en-US"/>
        </w:rPr>
      </w:pPr>
      <w:r>
        <w:rPr>
          <w:rFonts w:hint="eastAsia" w:ascii="仿宋_GB2312" w:hAnsi="仿宋_GB2312" w:eastAsia="仿宋_GB2312"/>
          <w:sz w:val="32"/>
          <w:szCs w:val="24"/>
          <w:lang w:val="en-US"/>
        </w:rPr>
        <w:t>三、《支出决算表》</w:t>
      </w:r>
    </w:p>
    <w:p w14:paraId="2A813839">
      <w:pPr>
        <w:spacing w:beforeLines="0" w:afterLines="0" w:line="540" w:lineRule="exact"/>
        <w:rPr>
          <w:rFonts w:hint="eastAsia"/>
          <w:sz w:val="32"/>
          <w:szCs w:val="24"/>
          <w:lang w:val="en-US"/>
        </w:rPr>
      </w:pPr>
      <w:r>
        <w:rPr>
          <w:rFonts w:hint="eastAsia" w:ascii="仿宋_GB2312" w:hAnsi="仿宋_GB2312" w:eastAsia="仿宋_GB2312"/>
          <w:sz w:val="32"/>
          <w:szCs w:val="24"/>
          <w:lang w:val="en-US"/>
        </w:rPr>
        <w:t>四、《财政拨款收入支出决算总表》</w:t>
      </w:r>
    </w:p>
    <w:p w14:paraId="72E84E46">
      <w:pPr>
        <w:spacing w:beforeLines="0" w:afterLines="0" w:line="540" w:lineRule="exact"/>
        <w:rPr>
          <w:rFonts w:hint="eastAsia"/>
          <w:sz w:val="32"/>
          <w:szCs w:val="24"/>
          <w:lang w:val="en-US"/>
        </w:rPr>
      </w:pPr>
      <w:r>
        <w:rPr>
          <w:rFonts w:hint="eastAsia" w:ascii="仿宋_GB2312" w:hAnsi="仿宋_GB2312" w:eastAsia="仿宋_GB2312"/>
          <w:sz w:val="32"/>
          <w:szCs w:val="24"/>
          <w:lang w:val="en-US"/>
        </w:rPr>
        <w:t>五、《一般公共预算财政拨款支出决算表》</w:t>
      </w:r>
    </w:p>
    <w:p w14:paraId="32ECB725">
      <w:pPr>
        <w:spacing w:beforeLines="0" w:afterLines="0" w:line="540" w:lineRule="exact"/>
        <w:rPr>
          <w:rFonts w:hint="eastAsia"/>
          <w:sz w:val="32"/>
          <w:szCs w:val="24"/>
          <w:lang w:val="en-US"/>
        </w:rPr>
      </w:pPr>
      <w:r>
        <w:rPr>
          <w:rFonts w:hint="eastAsia" w:ascii="仿宋_GB2312" w:hAnsi="仿宋_GB2312" w:eastAsia="仿宋_GB2312"/>
          <w:sz w:val="32"/>
          <w:szCs w:val="24"/>
          <w:lang w:val="en-US"/>
        </w:rPr>
        <w:t>六、《一般公共预算财政拨款基本支出决算表》</w:t>
      </w:r>
    </w:p>
    <w:p w14:paraId="0EA8385E">
      <w:pPr>
        <w:spacing w:beforeLines="0" w:afterLines="0" w:line="540" w:lineRule="exact"/>
        <w:rPr>
          <w:rFonts w:hint="eastAsia"/>
          <w:sz w:val="32"/>
          <w:szCs w:val="24"/>
          <w:lang w:val="en-US"/>
        </w:rPr>
      </w:pPr>
      <w:r>
        <w:rPr>
          <w:rFonts w:hint="eastAsia" w:ascii="仿宋_GB2312" w:hAnsi="仿宋_GB2312" w:eastAsia="仿宋_GB2312"/>
          <w:sz w:val="32"/>
          <w:szCs w:val="24"/>
          <w:lang w:val="en-US"/>
        </w:rPr>
        <w:t>七、《一般公共预算财政拨款“三公”经费支出决算表》</w:t>
      </w:r>
    </w:p>
    <w:p w14:paraId="41026C95">
      <w:pPr>
        <w:spacing w:beforeLines="0" w:afterLines="0" w:line="540" w:lineRule="exact"/>
        <w:rPr>
          <w:rFonts w:hint="eastAsia"/>
          <w:sz w:val="32"/>
          <w:szCs w:val="24"/>
          <w:lang w:val="en-US"/>
        </w:rPr>
      </w:pPr>
      <w:r>
        <w:rPr>
          <w:rFonts w:hint="eastAsia" w:ascii="仿宋_GB2312" w:hAnsi="仿宋_GB2312" w:eastAsia="仿宋_GB2312"/>
          <w:sz w:val="32"/>
          <w:szCs w:val="24"/>
          <w:lang w:val="en-US"/>
        </w:rPr>
        <w:t>八、《政府性基金预算财政拨款收入支出决算表》</w:t>
      </w:r>
    </w:p>
    <w:p w14:paraId="05BBB4E9">
      <w:pPr>
        <w:spacing w:beforeLines="0" w:afterLines="0" w:line="540" w:lineRule="exact"/>
        <w:rPr>
          <w:rFonts w:hint="eastAsia"/>
          <w:sz w:val="32"/>
          <w:szCs w:val="24"/>
          <w:lang w:val="en-US"/>
        </w:rPr>
      </w:pPr>
      <w:r>
        <w:rPr>
          <w:rFonts w:hint="eastAsia" w:ascii="仿宋_GB2312" w:hAnsi="仿宋_GB2312" w:eastAsia="仿宋_GB2312"/>
          <w:sz w:val="32"/>
          <w:szCs w:val="24"/>
          <w:lang w:val="en-US"/>
        </w:rPr>
        <w:t>九、《国有资本经营预算财政拨款收入支出决算表》</w:t>
      </w:r>
    </w:p>
    <w:p w14:paraId="2A5FB22F">
      <w:pPr>
        <w:spacing w:beforeLines="0" w:afterLines="0" w:line="540" w:lineRule="exact"/>
        <w:ind w:firstLine="640"/>
        <w:rPr>
          <w:rFonts w:hint="eastAsia"/>
          <w:b/>
          <w:kern w:val="0"/>
          <w:sz w:val="28"/>
          <w:szCs w:val="24"/>
          <w:lang w:val="en-US"/>
        </w:rPr>
      </w:pPr>
    </w:p>
    <w:p w14:paraId="49F0B42A">
      <w:pPr>
        <w:shd w:val="clear" w:color="auto" w:fill="FFFFFF"/>
        <w:spacing w:beforeLines="0" w:afterLines="0" w:line="360" w:lineRule="auto"/>
        <w:jc w:val="center"/>
        <w:rPr>
          <w:rFonts w:hint="eastAsia"/>
          <w:kern w:val="0"/>
          <w:sz w:val="32"/>
          <w:szCs w:val="24"/>
          <w:lang w:val="en-US"/>
        </w:rPr>
      </w:pPr>
    </w:p>
    <w:p w14:paraId="64FD3EE6">
      <w:pPr>
        <w:shd w:val="clear" w:color="auto" w:fill="FFFFFF"/>
        <w:spacing w:beforeLines="0" w:afterLines="0" w:line="360" w:lineRule="auto"/>
        <w:jc w:val="center"/>
        <w:rPr>
          <w:rFonts w:hint="eastAsia" w:ascii="黑体" w:hAnsi="黑体" w:eastAsia="黑体"/>
          <w:kern w:val="0"/>
          <w:sz w:val="32"/>
          <w:szCs w:val="24"/>
          <w:lang w:val="ar-SA"/>
        </w:rPr>
      </w:pPr>
      <w:r>
        <w:rPr>
          <w:rFonts w:hint="eastAsia"/>
          <w:kern w:val="0"/>
          <w:sz w:val="32"/>
          <w:szCs w:val="24"/>
          <w:lang w:val="en-US"/>
        </w:rPr>
        <w:br w:type="page"/>
      </w:r>
      <w:r>
        <w:rPr>
          <w:rFonts w:hint="eastAsia" w:ascii="黑体" w:hAnsi="黑体" w:eastAsia="黑体"/>
          <w:kern w:val="0"/>
          <w:sz w:val="32"/>
          <w:szCs w:val="24"/>
          <w:lang w:val="en-US"/>
        </w:rPr>
        <w:t>第一部分 部门单位概况</w:t>
      </w:r>
    </w:p>
    <w:p w14:paraId="3E22E27F">
      <w:pPr>
        <w:spacing w:beforeLines="0" w:afterLines="0" w:line="360" w:lineRule="auto"/>
        <w:ind w:firstLine="640"/>
        <w:rPr>
          <w:rFonts w:hint="eastAsia"/>
          <w:sz w:val="32"/>
          <w:szCs w:val="24"/>
          <w:lang w:val="zh-CN"/>
        </w:rPr>
      </w:pPr>
      <w:r>
        <w:rPr>
          <w:rFonts w:hint="eastAsia" w:ascii="黑体" w:hAnsi="黑体" w:eastAsia="黑体"/>
          <w:sz w:val="32"/>
          <w:szCs w:val="24"/>
          <w:lang w:val="zh-CN"/>
        </w:rPr>
        <w:t>一、主要职能</w:t>
      </w:r>
    </w:p>
    <w:p w14:paraId="10E2D5FB">
      <w:pPr>
        <w:shd w:val="clear" w:color="auto" w:fill="FFFFFF"/>
        <w:spacing w:beforeLines="0" w:afterLines="0" w:line="360" w:lineRule="auto"/>
        <w:ind w:firstLine="640"/>
        <w:rPr>
          <w:rFonts w:hint="eastAsia" w:ascii="仿宋_GB2312" w:hAnsi="仿宋_GB2312" w:eastAsia="仿宋_GB2312" w:cs="Times New Roman"/>
          <w:kern w:val="0"/>
          <w:sz w:val="32"/>
          <w:szCs w:val="24"/>
          <w:lang w:val="en-US" w:eastAsia="zh-CN"/>
        </w:rPr>
      </w:pPr>
      <w:r>
        <w:rPr>
          <w:rFonts w:hint="eastAsia" w:ascii="仿宋_GB2312" w:hAnsi="仿宋_GB2312" w:eastAsia="仿宋_GB2312" w:cs="Times New Roman"/>
          <w:kern w:val="0"/>
          <w:sz w:val="32"/>
          <w:szCs w:val="24"/>
          <w:lang w:val="en-US" w:eastAsia="zh-CN"/>
        </w:rPr>
        <w:t>(一)贯彻执行国家、自治区和乌鲁木齐市有关园林绿化工作的方针、政策和法律、法规;园林资源保护及生态环境建设的方针、政策和法律、法规、规章;拟订辖区园林绿化发展规划及中、长期规划和年度计划，并组织实施。</w:t>
      </w:r>
    </w:p>
    <w:p w14:paraId="6B1C7185">
      <w:pPr>
        <w:shd w:val="clear" w:color="auto" w:fill="FFFFFF"/>
        <w:spacing w:beforeLines="0" w:afterLines="0" w:line="360" w:lineRule="auto"/>
        <w:ind w:firstLine="640"/>
        <w:rPr>
          <w:rFonts w:hint="eastAsia" w:ascii="仿宋_GB2312" w:hAnsi="仿宋_GB2312" w:eastAsia="仿宋_GB2312" w:cs="Times New Roman"/>
          <w:kern w:val="0"/>
          <w:sz w:val="32"/>
          <w:szCs w:val="24"/>
          <w:lang w:val="en-US" w:eastAsia="zh-CN"/>
        </w:rPr>
      </w:pPr>
      <w:r>
        <w:rPr>
          <w:rFonts w:hint="eastAsia" w:ascii="仿宋_GB2312" w:hAnsi="仿宋_GB2312" w:eastAsia="仿宋_GB2312" w:cs="Times New Roman"/>
          <w:kern w:val="0"/>
          <w:sz w:val="32"/>
          <w:szCs w:val="24"/>
          <w:lang w:val="en-US" w:eastAsia="zh-CN"/>
        </w:rPr>
        <w:t>(二)根据城区总体规划，组织编制全区绿地系统详细规划和城区绿化专业规划，确定城区各地段和各种性质用地的绿地率、人均公园绿地面积控制指标，组织实施城区绿化规划，编制并实施城区绿化中长期发展规划和年度计划;参与城市绿地范围 控制线(绿线)的划定工作，负责对绿线依法进行管理。</w:t>
      </w:r>
    </w:p>
    <w:p w14:paraId="7BCFF0A2">
      <w:pPr>
        <w:shd w:val="clear" w:color="auto" w:fill="FFFFFF"/>
        <w:spacing w:beforeLines="0" w:afterLines="0" w:line="360" w:lineRule="auto"/>
        <w:ind w:firstLine="640"/>
        <w:rPr>
          <w:rFonts w:hint="eastAsia" w:ascii="仿宋_GB2312" w:hAnsi="仿宋_GB2312" w:eastAsia="仿宋_GB2312" w:cs="Times New Roman"/>
          <w:kern w:val="0"/>
          <w:sz w:val="32"/>
          <w:szCs w:val="24"/>
          <w:lang w:val="en-US" w:eastAsia="zh-CN"/>
        </w:rPr>
      </w:pPr>
      <w:r>
        <w:rPr>
          <w:rFonts w:hint="eastAsia" w:ascii="仿宋_GB2312" w:hAnsi="仿宋_GB2312" w:eastAsia="仿宋_GB2312" w:cs="Times New Roman"/>
          <w:kern w:val="0"/>
          <w:sz w:val="32"/>
          <w:szCs w:val="24"/>
          <w:lang w:val="en-US" w:eastAsia="zh-CN"/>
        </w:rPr>
        <w:t>(三)拟订全区城区园林绿化计划，执行国家、自治区相关标准和规程;负责城区公共绿地、生产绿地、风景林地、行道树、干道绿化带及园林设施的规划、建设、养护、管理;监督、检查、指导城区区属、驻区各单位管界内的单位附属绿地，单位、私菅自建公园、居住区绿地的绿化规划、建设和管理工作;指导乡镇、片区管委会绿化工作及单位庭院绿化和达标创建工作;指导、监督全民义务植树工作;承担区绿化委员会的具体工作。</w:t>
      </w:r>
    </w:p>
    <w:p w14:paraId="50ADC016">
      <w:pPr>
        <w:shd w:val="clear" w:color="auto" w:fill="FFFFFF"/>
        <w:spacing w:beforeLines="0" w:afterLines="0" w:line="360" w:lineRule="auto"/>
        <w:ind w:firstLine="640"/>
        <w:rPr>
          <w:rFonts w:hint="eastAsia" w:ascii="仿宋_GB2312" w:hAnsi="仿宋_GB2312" w:eastAsia="仿宋_GB2312" w:cs="Times New Roman"/>
          <w:kern w:val="0"/>
          <w:sz w:val="32"/>
          <w:szCs w:val="24"/>
          <w:lang w:val="en-US" w:eastAsia="zh-CN"/>
        </w:rPr>
      </w:pPr>
      <w:r>
        <w:rPr>
          <w:rFonts w:hint="eastAsia" w:ascii="仿宋_GB2312" w:hAnsi="仿宋_GB2312" w:eastAsia="仿宋_GB2312" w:cs="Times New Roman"/>
          <w:kern w:val="0"/>
          <w:sz w:val="32"/>
          <w:szCs w:val="24"/>
          <w:lang w:val="en-US" w:eastAsia="zh-CN"/>
        </w:rPr>
        <w:t>(四)依法审批城区公共绿地、专用绿地、风景林地和干道绿化带等绿化工程方案;依法审批城区新、改、扩建工程建设项目的附属绿化工程设计方案，参与建设规划行政主管部门对城区新建、改建、扩建工程项目建设方案的会审;负责城区新建、改建、扩建工程建设项目附属绿化工程的方案审批和竣工验收，负责城市规划区内居住小区、单位庭院附属绿化工程的方案审批和竣工验收;承担辖区公共绿地资源保护、利用、更新实施监督管理的责任;拟订绿地保护利用规划并组织实施;</w:t>
      </w:r>
    </w:p>
    <w:p w14:paraId="4132D025">
      <w:pPr>
        <w:shd w:val="clear" w:color="auto" w:fill="FFFFFF"/>
        <w:spacing w:beforeLines="0" w:afterLines="0" w:line="360" w:lineRule="auto"/>
        <w:ind w:firstLine="640"/>
        <w:rPr>
          <w:rFonts w:hint="eastAsia" w:ascii="仿宋_GB2312" w:hAnsi="仿宋_GB2312" w:eastAsia="仿宋_GB2312" w:cs="Times New Roman"/>
          <w:kern w:val="0"/>
          <w:sz w:val="32"/>
          <w:szCs w:val="24"/>
          <w:lang w:val="en-US" w:eastAsia="zh-CN"/>
        </w:rPr>
      </w:pPr>
      <w:r>
        <w:rPr>
          <w:rFonts w:hint="eastAsia" w:ascii="仿宋_GB2312" w:hAnsi="仿宋_GB2312" w:eastAsia="仿宋_GB2312" w:cs="Times New Roman"/>
          <w:kern w:val="0"/>
          <w:sz w:val="32"/>
          <w:szCs w:val="24"/>
          <w:lang w:val="en-US" w:eastAsia="zh-CN"/>
        </w:rPr>
        <w:t>(五)负责权限内因建设需要树木移植、砍伐和绿地临时占用的审批及征用、占用绿地的审核;负责对荒山绿化进行年度复验，以及30%政策用地开发建设的监督管理工作;组织实施全区绿地资源的调查、动态监测和统计工作。</w:t>
      </w:r>
    </w:p>
    <w:p w14:paraId="373C946B">
      <w:pPr>
        <w:shd w:val="clear" w:color="auto" w:fill="FFFFFF"/>
        <w:spacing w:beforeLines="0" w:afterLines="0" w:line="360" w:lineRule="auto"/>
        <w:ind w:firstLine="640"/>
        <w:rPr>
          <w:rFonts w:hint="eastAsia" w:ascii="仿宋_GB2312" w:hAnsi="仿宋_GB2312" w:eastAsia="仿宋_GB2312" w:cs="Times New Roman"/>
          <w:kern w:val="0"/>
          <w:sz w:val="32"/>
          <w:szCs w:val="24"/>
          <w:lang w:val="en-US" w:eastAsia="zh-CN"/>
        </w:rPr>
      </w:pPr>
      <w:r>
        <w:rPr>
          <w:rFonts w:hint="eastAsia" w:ascii="仿宋_GB2312" w:hAnsi="仿宋_GB2312" w:eastAsia="仿宋_GB2312" w:cs="Times New Roman"/>
          <w:kern w:val="0"/>
          <w:sz w:val="32"/>
          <w:szCs w:val="24"/>
          <w:lang w:val="en-US" w:eastAsia="zh-CN"/>
        </w:rPr>
        <w:t>(六)组织、指导全区园林病虫害防治和监测工作;组织开展全区园林有害生物的防治、检疫工作。</w:t>
      </w:r>
    </w:p>
    <w:p w14:paraId="31D403B9">
      <w:pPr>
        <w:shd w:val="clear" w:color="auto" w:fill="FFFFFF"/>
        <w:spacing w:beforeLines="0" w:afterLines="0" w:line="360" w:lineRule="auto"/>
        <w:ind w:firstLine="640"/>
        <w:rPr>
          <w:rFonts w:hint="eastAsia" w:ascii="仿宋_GB2312" w:hAnsi="仿宋_GB2312" w:eastAsia="仿宋_GB2312" w:cs="Times New Roman"/>
          <w:kern w:val="0"/>
          <w:sz w:val="32"/>
          <w:szCs w:val="24"/>
          <w:lang w:val="en-US" w:eastAsia="zh-CN"/>
        </w:rPr>
      </w:pPr>
      <w:r>
        <w:rPr>
          <w:rFonts w:hint="eastAsia" w:ascii="仿宋_GB2312" w:hAnsi="仿宋_GB2312" w:eastAsia="仿宋_GB2312" w:cs="Times New Roman"/>
          <w:kern w:val="0"/>
          <w:sz w:val="32"/>
          <w:szCs w:val="24"/>
          <w:lang w:val="en-US" w:eastAsia="zh-CN"/>
        </w:rPr>
        <w:t>(七)负责全区园林绿化养护管理工作;负责公共绿地、防护绿地、风景林地及权限内城市道路绿化带的绿化工作;负责城区古树名木的鉴定、调查、统计、建档及对古树名木养护的监督、指导，救护及繁殖濒危植物和做好城区野生动物的教助工作。          </w:t>
      </w:r>
    </w:p>
    <w:p w14:paraId="51FDD529">
      <w:pPr>
        <w:shd w:val="clear" w:color="auto" w:fill="FFFFFF"/>
        <w:spacing w:beforeLines="0" w:afterLines="0" w:line="360" w:lineRule="auto"/>
        <w:ind w:firstLine="640"/>
        <w:rPr>
          <w:rFonts w:hint="eastAsia" w:ascii="仿宋_GB2312" w:hAnsi="仿宋_GB2312" w:eastAsia="仿宋_GB2312" w:cs="Times New Roman"/>
          <w:kern w:val="0"/>
          <w:sz w:val="32"/>
          <w:szCs w:val="24"/>
          <w:lang w:val="en-US" w:eastAsia="zh-CN"/>
        </w:rPr>
      </w:pPr>
      <w:r>
        <w:rPr>
          <w:rFonts w:hint="eastAsia" w:ascii="仿宋_GB2312" w:hAnsi="仿宋_GB2312" w:eastAsia="仿宋_GB2312" w:cs="Times New Roman"/>
          <w:kern w:val="0"/>
          <w:sz w:val="32"/>
          <w:szCs w:val="24"/>
          <w:lang w:val="en-US" w:eastAsia="zh-CN"/>
        </w:rPr>
        <w:t>(八)组织实施辖区花卉基地、苗木基地的建设、管理及园林绿化苗木的培育，养护管理工作，组织园林绿化工程项目的招投标及辖区公共绿地基础设施工程建设项目可行性研究、立项、报批、竣工验收及管理工作。</w:t>
      </w:r>
    </w:p>
    <w:p w14:paraId="508DAAC8">
      <w:pPr>
        <w:shd w:val="clear" w:color="auto" w:fill="FFFFFF"/>
        <w:spacing w:beforeLines="0" w:afterLines="0" w:line="360" w:lineRule="auto"/>
        <w:ind w:firstLine="640"/>
        <w:rPr>
          <w:rFonts w:hint="eastAsia" w:ascii="仿宋_GB2312" w:hAnsi="仿宋_GB2312" w:eastAsia="仿宋_GB2312" w:cs="Times New Roman"/>
          <w:kern w:val="0"/>
          <w:sz w:val="32"/>
          <w:szCs w:val="24"/>
          <w:lang w:val="en-US" w:eastAsia="zh-CN"/>
        </w:rPr>
      </w:pPr>
      <w:r>
        <w:rPr>
          <w:rFonts w:hint="eastAsia" w:ascii="仿宋_GB2312" w:hAnsi="仿宋_GB2312" w:eastAsia="仿宋_GB2312" w:cs="Times New Roman"/>
          <w:kern w:val="0"/>
          <w:sz w:val="32"/>
          <w:szCs w:val="24"/>
          <w:lang w:val="en-US" w:eastAsia="zh-CN"/>
        </w:rPr>
        <w:t>(九)做好园林绿化行业职工培训、继续教育和人才开发、园林绿化科学研究、科技成果推广应用和新技术引进工作。负责城区园林绿化、动物科普教育宣传工作，负责本局绿化统计、成果普查、资源调查评估和档案管理工作。</w:t>
      </w:r>
    </w:p>
    <w:p w14:paraId="3B488FB5">
      <w:pPr>
        <w:shd w:val="clear" w:color="auto" w:fill="FFFFFF"/>
        <w:spacing w:beforeLines="0" w:afterLines="0" w:line="360" w:lineRule="auto"/>
        <w:ind w:firstLine="640"/>
        <w:rPr>
          <w:rFonts w:hint="eastAsia"/>
          <w:sz w:val="32"/>
          <w:szCs w:val="24"/>
          <w:lang w:val="zh-CN"/>
        </w:rPr>
      </w:pPr>
      <w:r>
        <w:rPr>
          <w:rFonts w:hint="eastAsia" w:ascii="仿宋_GB2312" w:hAnsi="仿宋_GB2312" w:eastAsia="仿宋_GB2312" w:cs="Times New Roman"/>
          <w:kern w:val="0"/>
          <w:sz w:val="32"/>
          <w:szCs w:val="24"/>
          <w:lang w:val="en-US" w:eastAsia="zh-CN"/>
        </w:rPr>
        <w:t>(十)承办区委、管委会(区人民政府)交办的其他事项。</w:t>
      </w:r>
    </w:p>
    <w:p w14:paraId="2D620840">
      <w:pPr>
        <w:spacing w:beforeLines="0" w:afterLines="0" w:line="360" w:lineRule="auto"/>
        <w:ind w:firstLine="640"/>
        <w:rPr>
          <w:rFonts w:hint="eastAsia"/>
          <w:sz w:val="32"/>
          <w:szCs w:val="24"/>
          <w:lang w:val="zh-CN"/>
        </w:rPr>
      </w:pPr>
      <w:r>
        <w:rPr>
          <w:rFonts w:hint="eastAsia" w:ascii="黑体" w:hAnsi="黑体" w:eastAsia="黑体"/>
          <w:sz w:val="32"/>
          <w:szCs w:val="24"/>
          <w:lang w:val="zh-CN"/>
        </w:rPr>
        <w:t>二、机构设置及人员情况</w:t>
      </w:r>
    </w:p>
    <w:p w14:paraId="4520F145">
      <w:pPr>
        <w:shd w:val="clear" w:color="auto" w:fill="FFFFFF"/>
        <w:spacing w:beforeLines="0" w:afterLines="0" w:line="360" w:lineRule="auto"/>
        <w:ind w:firstLine="640"/>
        <w:rPr>
          <w:rFonts w:hint="eastAsia" w:ascii="仿宋_GB2312" w:hAnsi="仿宋_GB2312" w:eastAsia="仿宋_GB2312" w:cs="Times New Roman"/>
          <w:kern w:val="0"/>
          <w:sz w:val="32"/>
          <w:szCs w:val="24"/>
          <w:lang w:val="en-US" w:eastAsia="zh-CN"/>
        </w:rPr>
      </w:pPr>
      <w:r>
        <w:rPr>
          <w:rFonts w:hint="eastAsia" w:ascii="仿宋_GB2312" w:hAnsi="仿宋_GB2312" w:eastAsia="仿宋_GB2312" w:cs="Times New Roman"/>
          <w:kern w:val="0"/>
          <w:sz w:val="32"/>
          <w:szCs w:val="24"/>
          <w:lang w:val="en-US" w:eastAsia="zh-CN"/>
        </w:rPr>
        <w:t>乌鲁木齐高新技术产业开发区（乌鲁木齐市新市区）园林管理局2021年度，实有人数10人，其中：在职人员10人，离休人员0人，退休人员0人。</w:t>
      </w:r>
    </w:p>
    <w:p w14:paraId="55B2308A">
      <w:pPr>
        <w:shd w:val="clear" w:color="auto" w:fill="FFFFFF"/>
        <w:spacing w:beforeLines="0" w:afterLines="0" w:line="360" w:lineRule="auto"/>
        <w:ind w:firstLine="640"/>
        <w:rPr>
          <w:rFonts w:hint="eastAsia" w:ascii="仿宋_GB2312" w:hAnsi="仿宋_GB2312" w:eastAsia="仿宋_GB2312" w:cs="Times New Roman"/>
          <w:kern w:val="0"/>
          <w:sz w:val="32"/>
          <w:szCs w:val="24"/>
          <w:lang w:val="en-US"/>
        </w:rPr>
      </w:pPr>
      <w:r>
        <w:rPr>
          <w:rFonts w:hint="eastAsia" w:ascii="仿宋_GB2312" w:hAnsi="仿宋_GB2312" w:eastAsia="仿宋_GB2312" w:cs="Times New Roman"/>
          <w:kern w:val="0"/>
          <w:sz w:val="32"/>
          <w:szCs w:val="24"/>
          <w:lang w:val="en-US" w:eastAsia="zh-CN"/>
        </w:rPr>
        <w:t>从部门决算单位构成看，乌鲁木齐高新技术产业开发区（乌鲁木齐市新市区）园林管理局部门决算包括：乌鲁木齐高新技术产业开发区（乌鲁木齐市新市区）园林管理局决算。单位无下属预算单位，下设3个科室，分别是：办公室、建设项目管理科、园林绿化养护管理科。</w:t>
      </w:r>
    </w:p>
    <w:p w14:paraId="11F58AF9">
      <w:pPr>
        <w:shd w:val="clear" w:color="auto" w:fill="FFFFFF"/>
        <w:spacing w:before="100" w:beforeLines="0" w:after="240" w:afterLines="0"/>
        <w:jc w:val="center"/>
        <w:rPr>
          <w:rFonts w:hint="eastAsia"/>
          <w:kern w:val="0"/>
          <w:sz w:val="28"/>
          <w:szCs w:val="24"/>
          <w:lang w:val="ar-SA"/>
        </w:rPr>
      </w:pPr>
      <w:r>
        <w:rPr>
          <w:rFonts w:hint="eastAsia" w:ascii="黑体" w:hAnsi="黑体" w:eastAsia="黑体"/>
          <w:kern w:val="0"/>
          <w:sz w:val="32"/>
          <w:szCs w:val="24"/>
          <w:lang w:val="en-US"/>
        </w:rPr>
        <w:t>第二部分 部门决算情况说明</w:t>
      </w:r>
    </w:p>
    <w:p w14:paraId="12C0982C">
      <w:pPr>
        <w:spacing w:beforeLines="0" w:afterLines="0" w:line="360" w:lineRule="auto"/>
        <w:ind w:firstLine="640"/>
        <w:rPr>
          <w:rFonts w:hint="eastAsia"/>
          <w:sz w:val="32"/>
          <w:szCs w:val="24"/>
          <w:lang w:val="zh-CN"/>
        </w:rPr>
      </w:pPr>
      <w:r>
        <w:rPr>
          <w:rFonts w:hint="eastAsia" w:ascii="黑体" w:hAnsi="黑体" w:eastAsia="黑体"/>
          <w:sz w:val="32"/>
          <w:szCs w:val="24"/>
          <w:lang w:val="zh-CN"/>
        </w:rPr>
        <w:t>一、收入支出决算总体情况说明</w:t>
      </w:r>
    </w:p>
    <w:p w14:paraId="5456ABBD">
      <w:pPr>
        <w:shd w:val="clear" w:color="auto" w:fill="FFFFFF"/>
        <w:spacing w:beforeLines="0" w:afterLines="0"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2021年度本年收入5,445.97万元，与上年相比，增加4,438.56万元，增长440.59%，主要原因是：预算收入增加，主要</w:t>
      </w:r>
      <w:r>
        <w:rPr>
          <w:rFonts w:hint="eastAsia" w:ascii="仿宋_GB2312" w:hAnsi="仿宋_GB2312" w:eastAsia="仿宋_GB2312"/>
          <w:kern w:val="0"/>
          <w:sz w:val="32"/>
          <w:szCs w:val="24"/>
          <w:lang w:val="en-US" w:eastAsia="zh-CN"/>
        </w:rPr>
        <w:t>是</w:t>
      </w:r>
      <w:r>
        <w:rPr>
          <w:rFonts w:hint="eastAsia" w:ascii="仿宋_GB2312" w:hAnsi="仿宋_GB2312" w:eastAsia="仿宋_GB2312"/>
          <w:kern w:val="0"/>
          <w:sz w:val="32"/>
          <w:szCs w:val="24"/>
          <w:lang w:val="en-US"/>
        </w:rPr>
        <w:t>园林绿化</w:t>
      </w:r>
      <w:r>
        <w:rPr>
          <w:rFonts w:hint="eastAsia" w:ascii="仿宋_GB2312" w:hAnsi="仿宋_GB2312" w:eastAsia="仿宋_GB2312"/>
          <w:kern w:val="0"/>
          <w:sz w:val="32"/>
          <w:szCs w:val="24"/>
          <w:lang w:val="en-US" w:eastAsia="zh-CN"/>
        </w:rPr>
        <w:t>项目预算收入增加</w:t>
      </w:r>
      <w:r>
        <w:rPr>
          <w:rFonts w:hint="eastAsia" w:ascii="仿宋_GB2312" w:hAnsi="仿宋_GB2312" w:eastAsia="仿宋_GB2312"/>
          <w:kern w:val="0"/>
          <w:sz w:val="32"/>
          <w:szCs w:val="24"/>
          <w:lang w:val="en-US"/>
        </w:rPr>
        <w:t>。本年支出5,718.90万元，与上年相比，增加5,019.92万元，增长718.18%，主要原因是：</w:t>
      </w:r>
      <w:r>
        <w:rPr>
          <w:rFonts w:hint="eastAsia" w:ascii="仿宋_GB2312" w:hAnsi="仿宋_GB2312" w:eastAsia="仿宋_GB2312"/>
          <w:kern w:val="0"/>
          <w:sz w:val="32"/>
          <w:szCs w:val="24"/>
          <w:lang w:val="en-US" w:eastAsia="zh-CN"/>
        </w:rPr>
        <w:t>园林绿化的</w:t>
      </w:r>
      <w:r>
        <w:rPr>
          <w:rFonts w:hint="eastAsia" w:ascii="仿宋_GB2312" w:hAnsi="仿宋_GB2312" w:eastAsia="仿宋_GB2312"/>
          <w:kern w:val="0"/>
          <w:sz w:val="32"/>
          <w:szCs w:val="24"/>
          <w:lang w:val="en-US"/>
        </w:rPr>
        <w:t>项目</w:t>
      </w:r>
      <w:r>
        <w:rPr>
          <w:rFonts w:hint="eastAsia" w:ascii="仿宋_GB2312" w:hAnsi="仿宋_GB2312" w:eastAsia="仿宋_GB2312"/>
          <w:kern w:val="0"/>
          <w:sz w:val="32"/>
          <w:szCs w:val="24"/>
          <w:lang w:val="en-US" w:eastAsia="zh-CN"/>
        </w:rPr>
        <w:t>支出增加</w:t>
      </w:r>
      <w:r>
        <w:rPr>
          <w:rFonts w:hint="eastAsia" w:ascii="仿宋_GB2312" w:hAnsi="仿宋_GB2312" w:eastAsia="仿宋_GB2312"/>
          <w:kern w:val="0"/>
          <w:sz w:val="32"/>
          <w:szCs w:val="24"/>
          <w:lang w:val="en-US"/>
        </w:rPr>
        <w:t>，主要用于园林绿化养护</w:t>
      </w:r>
      <w:r>
        <w:rPr>
          <w:rFonts w:hint="eastAsia" w:ascii="仿宋_GB2312" w:hAnsi="仿宋_GB2312" w:eastAsia="仿宋_GB2312"/>
          <w:kern w:val="0"/>
          <w:sz w:val="32"/>
          <w:szCs w:val="24"/>
          <w:lang w:val="en-US" w:eastAsia="zh-CN"/>
        </w:rPr>
        <w:t>和项目</w:t>
      </w:r>
      <w:r>
        <w:rPr>
          <w:rFonts w:hint="eastAsia" w:ascii="仿宋_GB2312" w:hAnsi="仿宋_GB2312" w:eastAsia="仿宋_GB2312"/>
          <w:kern w:val="0"/>
          <w:sz w:val="32"/>
          <w:szCs w:val="24"/>
          <w:lang w:val="en-US"/>
        </w:rPr>
        <w:t>的清欠工作。</w:t>
      </w:r>
    </w:p>
    <w:p w14:paraId="0E6AFBDB">
      <w:pPr>
        <w:spacing w:beforeLines="0" w:afterLines="0" w:line="360" w:lineRule="auto"/>
        <w:ind w:firstLine="640"/>
        <w:rPr>
          <w:rFonts w:hint="eastAsia"/>
          <w:sz w:val="32"/>
          <w:szCs w:val="24"/>
          <w:lang w:val="en-US"/>
        </w:rPr>
      </w:pPr>
      <w:r>
        <w:rPr>
          <w:rFonts w:hint="eastAsia" w:ascii="黑体" w:hAnsi="黑体" w:eastAsia="黑体"/>
          <w:sz w:val="32"/>
          <w:szCs w:val="24"/>
          <w:lang w:val="zh-CN"/>
        </w:rPr>
        <w:t>二、收入决算情况说明</w:t>
      </w:r>
    </w:p>
    <w:p w14:paraId="44F9AE43">
      <w:pPr>
        <w:shd w:val="clear" w:color="auto" w:fill="FFFFFF"/>
        <w:spacing w:beforeLines="0" w:afterLines="0"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2021年度本年收入5,445.97万元，其中：财政拨款收入5,445.97万元，占100.00%；上级补助收入0.00万元，占0.00%；事业收入0.00万元，占0.00%；经营收入0.00万元，占0.00%；附属单位上缴收入0.00万元，占0.00%；其他收入0.00万元，占0.00%。</w:t>
      </w:r>
    </w:p>
    <w:p w14:paraId="3436EA05">
      <w:pPr>
        <w:spacing w:beforeLines="0" w:afterLines="0" w:line="360" w:lineRule="auto"/>
        <w:ind w:firstLine="640"/>
        <w:rPr>
          <w:rFonts w:hint="eastAsia"/>
          <w:sz w:val="32"/>
          <w:szCs w:val="24"/>
          <w:lang w:val="en-US"/>
        </w:rPr>
      </w:pPr>
      <w:r>
        <w:rPr>
          <w:rFonts w:hint="eastAsia" w:ascii="黑体" w:hAnsi="黑体" w:eastAsia="黑体"/>
          <w:sz w:val="32"/>
          <w:szCs w:val="24"/>
          <w:lang w:val="zh-CN"/>
        </w:rPr>
        <w:t>三、支出决算情况说明</w:t>
      </w:r>
    </w:p>
    <w:p w14:paraId="279DD2E6">
      <w:pPr>
        <w:shd w:val="clear" w:color="auto" w:fill="FFFFFF"/>
        <w:spacing w:beforeLines="0" w:afterLines="0"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2021年度本年支出5,718.90万元，其中：基本支出282.03万元，占4.93%；项目支出5,436.87万元，占95.07%；上缴上级支出0.00万元，占0.00%；经营支出0.00万元，占0.00%；对附属单位补助支出0.00万元，占0.00%。</w:t>
      </w:r>
    </w:p>
    <w:p w14:paraId="73DD50D0">
      <w:pPr>
        <w:spacing w:beforeLines="0" w:afterLines="0" w:line="360" w:lineRule="auto"/>
        <w:ind w:firstLine="640"/>
        <w:rPr>
          <w:rFonts w:hint="eastAsia"/>
          <w:sz w:val="32"/>
          <w:szCs w:val="24"/>
          <w:lang w:val="zh-CN"/>
        </w:rPr>
      </w:pPr>
      <w:r>
        <w:rPr>
          <w:rFonts w:hint="eastAsia" w:ascii="黑体" w:hAnsi="黑体" w:eastAsia="黑体"/>
          <w:sz w:val="32"/>
          <w:szCs w:val="24"/>
          <w:lang w:val="zh-CN"/>
        </w:rPr>
        <w:t>四、财政拨款收入支出决算总体情况说明</w:t>
      </w:r>
    </w:p>
    <w:p w14:paraId="28C4FDCC">
      <w:pPr>
        <w:shd w:val="clear" w:color="auto" w:fill="FFFFFF"/>
        <w:spacing w:beforeLines="0" w:afterLines="0"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2021年度财政拨款收入5,445.97万元，与上年相比，增加4,438.91万元，增长440.78%，主要原因是：预算收入增加，主要</w:t>
      </w:r>
      <w:r>
        <w:rPr>
          <w:rFonts w:hint="eastAsia" w:ascii="仿宋_GB2312" w:hAnsi="仿宋_GB2312" w:eastAsia="仿宋_GB2312"/>
          <w:kern w:val="0"/>
          <w:sz w:val="32"/>
          <w:szCs w:val="24"/>
          <w:lang w:val="en-US" w:eastAsia="zh-CN"/>
        </w:rPr>
        <w:t>是</w:t>
      </w:r>
      <w:r>
        <w:rPr>
          <w:rFonts w:hint="eastAsia" w:ascii="仿宋_GB2312" w:hAnsi="仿宋_GB2312" w:eastAsia="仿宋_GB2312"/>
          <w:kern w:val="0"/>
          <w:sz w:val="32"/>
          <w:szCs w:val="24"/>
          <w:lang w:val="en-US"/>
        </w:rPr>
        <w:t>园林绿化</w:t>
      </w:r>
      <w:r>
        <w:rPr>
          <w:rFonts w:hint="eastAsia" w:ascii="仿宋_GB2312" w:hAnsi="仿宋_GB2312" w:eastAsia="仿宋_GB2312"/>
          <w:kern w:val="0"/>
          <w:sz w:val="32"/>
          <w:szCs w:val="24"/>
          <w:lang w:val="en-US" w:eastAsia="zh-CN"/>
        </w:rPr>
        <w:t>项目预算收入增加</w:t>
      </w:r>
      <w:r>
        <w:rPr>
          <w:rFonts w:hint="eastAsia" w:ascii="仿宋_GB2312" w:hAnsi="仿宋_GB2312" w:eastAsia="仿宋_GB2312"/>
          <w:kern w:val="0"/>
          <w:sz w:val="32"/>
          <w:szCs w:val="24"/>
          <w:lang w:val="en-US"/>
        </w:rPr>
        <w:t>。财政拨款支出5,718.90万元，与上年相比，增加5,019.92万元，增长718.18%，</w:t>
      </w:r>
      <w:r>
        <w:rPr>
          <w:rFonts w:hint="eastAsia" w:ascii="仿宋_GB2312" w:hAnsi="仿宋_GB2312" w:eastAsia="仿宋_GB2312"/>
          <w:kern w:val="0"/>
          <w:sz w:val="32"/>
          <w:szCs w:val="24"/>
          <w:lang w:val="en-US" w:eastAsia="zh-CN"/>
        </w:rPr>
        <w:t>园林绿化的</w:t>
      </w:r>
      <w:r>
        <w:rPr>
          <w:rFonts w:hint="eastAsia" w:ascii="仿宋_GB2312" w:hAnsi="仿宋_GB2312" w:eastAsia="仿宋_GB2312"/>
          <w:kern w:val="0"/>
          <w:sz w:val="32"/>
          <w:szCs w:val="24"/>
          <w:lang w:val="en-US"/>
        </w:rPr>
        <w:t>项目数量增加，主要用于园林绿化养护</w:t>
      </w:r>
      <w:r>
        <w:rPr>
          <w:rFonts w:hint="eastAsia" w:ascii="仿宋_GB2312" w:hAnsi="仿宋_GB2312" w:eastAsia="仿宋_GB2312"/>
          <w:kern w:val="0"/>
          <w:sz w:val="32"/>
          <w:szCs w:val="24"/>
          <w:lang w:val="en-US" w:eastAsia="zh-CN"/>
        </w:rPr>
        <w:t>和项目</w:t>
      </w:r>
      <w:r>
        <w:rPr>
          <w:rFonts w:hint="eastAsia" w:ascii="仿宋_GB2312" w:hAnsi="仿宋_GB2312" w:eastAsia="仿宋_GB2312"/>
          <w:kern w:val="0"/>
          <w:sz w:val="32"/>
          <w:szCs w:val="24"/>
          <w:lang w:val="en-US"/>
        </w:rPr>
        <w:t>的清欠工作。</w:t>
      </w:r>
    </w:p>
    <w:p w14:paraId="21954943">
      <w:pPr>
        <w:shd w:val="clear" w:color="auto" w:fill="FFFFFF"/>
        <w:spacing w:beforeLines="0" w:afterLines="0"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与年初预算数相比情况：财政拨款收入年初预算数2,284.63万元，决算数5,445.97万元，预决算差异率138.37%，主要原因是：</w:t>
      </w:r>
      <w:r>
        <w:rPr>
          <w:rFonts w:hint="eastAsia" w:ascii="仿宋_GB2312" w:hAnsi="仿宋_GB2312" w:eastAsia="仿宋_GB2312"/>
          <w:kern w:val="0"/>
          <w:sz w:val="32"/>
          <w:szCs w:val="24"/>
          <w:lang w:val="en-US" w:eastAsia="zh-CN"/>
        </w:rPr>
        <w:t>年中追加园林绿化项目和养护的财政预算收入，用于清欠工作</w:t>
      </w:r>
      <w:r>
        <w:rPr>
          <w:rFonts w:hint="eastAsia" w:ascii="仿宋_GB2312" w:hAnsi="仿宋_GB2312" w:eastAsia="仿宋_GB2312"/>
          <w:kern w:val="0"/>
          <w:sz w:val="32"/>
          <w:szCs w:val="24"/>
          <w:lang w:val="en-US"/>
        </w:rPr>
        <w:t>。财政拨款支出年初预算数2,284.63万元，决算数5,718.90万元，预决算差异率150.32%，主要原因是：</w:t>
      </w:r>
      <w:r>
        <w:rPr>
          <w:rFonts w:hint="eastAsia" w:ascii="仿宋_GB2312" w:hAnsi="仿宋_GB2312" w:eastAsia="仿宋_GB2312"/>
          <w:kern w:val="0"/>
          <w:sz w:val="32"/>
          <w:szCs w:val="24"/>
          <w:lang w:val="en-US" w:eastAsia="zh-CN"/>
        </w:rPr>
        <w:t>年中增加园林绿化项目和养护的财政预算支出，用于清欠工作</w:t>
      </w:r>
      <w:r>
        <w:rPr>
          <w:rFonts w:hint="eastAsia" w:ascii="仿宋_GB2312" w:hAnsi="仿宋_GB2312" w:eastAsia="仿宋_GB2312"/>
          <w:kern w:val="0"/>
          <w:sz w:val="32"/>
          <w:szCs w:val="24"/>
          <w:lang w:val="en-US"/>
        </w:rPr>
        <w:t>。</w:t>
      </w:r>
    </w:p>
    <w:p w14:paraId="3E6468AB">
      <w:pPr>
        <w:spacing w:beforeLines="0" w:afterLines="0" w:line="360" w:lineRule="auto"/>
        <w:ind w:firstLine="640"/>
        <w:rPr>
          <w:rFonts w:hint="eastAsia"/>
          <w:sz w:val="32"/>
          <w:szCs w:val="24"/>
          <w:lang w:val="zh-CN"/>
        </w:rPr>
      </w:pPr>
      <w:r>
        <w:rPr>
          <w:rFonts w:hint="eastAsia" w:ascii="黑体" w:hAnsi="黑体" w:eastAsia="黑体"/>
          <w:sz w:val="32"/>
          <w:szCs w:val="24"/>
          <w:lang w:val="zh-CN"/>
        </w:rPr>
        <w:t>五、一般公共预算财政拨款支出决算情况说明</w:t>
      </w:r>
    </w:p>
    <w:p w14:paraId="23004134">
      <w:pPr>
        <w:spacing w:beforeLines="0" w:afterLines="0"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2021年度一般公共预算财政拨款支出1,920.47万元。按功能分类科目项级科目公开，其中：</w:t>
      </w:r>
    </w:p>
    <w:p w14:paraId="4C61CD9A">
      <w:pPr>
        <w:shd w:val="clear" w:color="auto" w:fill="FFFFFF"/>
        <w:spacing w:beforeLines="0" w:afterLines="0" w:line="360" w:lineRule="auto"/>
        <w:ind w:firstLine="640"/>
        <w:rPr>
          <w:rFonts w:hint="eastAsia" w:ascii="仿宋_GB2312" w:hAnsi="仿宋_GB2312" w:eastAsia="仿宋_GB2312" w:cs="Times New Roman"/>
          <w:kern w:val="0"/>
          <w:sz w:val="32"/>
          <w:szCs w:val="24"/>
          <w:lang w:val="en-US" w:eastAsia="zh-CN"/>
        </w:rPr>
      </w:pPr>
      <w:r>
        <w:rPr>
          <w:rFonts w:hint="eastAsia" w:ascii="仿宋_GB2312" w:hAnsi="仿宋_GB2312" w:eastAsia="仿宋_GB2312" w:cs="Times New Roman"/>
          <w:kern w:val="0"/>
          <w:sz w:val="32"/>
          <w:szCs w:val="24"/>
          <w:lang w:val="en-US" w:eastAsia="zh-CN"/>
        </w:rPr>
        <w:t>2049999其他公共安全支出18.03万元；</w:t>
      </w:r>
    </w:p>
    <w:p w14:paraId="67560952">
      <w:pPr>
        <w:spacing w:beforeLines="0" w:afterLines="0" w:line="360" w:lineRule="auto"/>
        <w:ind w:firstLine="640"/>
        <w:rPr>
          <w:rFonts w:hint="eastAsia" w:ascii="仿宋_GB2312" w:hAnsi="仿宋_GB2312" w:eastAsia="仿宋_GB2312" w:cs="Times New Roman"/>
          <w:kern w:val="0"/>
          <w:sz w:val="32"/>
          <w:szCs w:val="24"/>
          <w:lang w:val="en-US" w:eastAsia="zh-CN"/>
        </w:rPr>
      </w:pPr>
      <w:r>
        <w:rPr>
          <w:rFonts w:hint="eastAsia" w:ascii="仿宋_GB2312" w:hAnsi="仿宋_GB2312" w:eastAsia="仿宋_GB2312" w:cs="Times New Roman"/>
          <w:kern w:val="0"/>
          <w:sz w:val="32"/>
          <w:szCs w:val="24"/>
          <w:lang w:val="en-US" w:eastAsia="zh-CN"/>
        </w:rPr>
        <w:t>2080505机关事业单位基本养老保险缴费支出12.39万元；</w:t>
      </w:r>
    </w:p>
    <w:p w14:paraId="1E499FE7">
      <w:pPr>
        <w:spacing w:beforeLines="0" w:afterLines="0" w:line="360" w:lineRule="auto"/>
        <w:ind w:firstLine="640"/>
        <w:rPr>
          <w:rFonts w:hint="eastAsia" w:ascii="仿宋_GB2312" w:hAnsi="仿宋_GB2312" w:eastAsia="仿宋_GB2312" w:cs="Times New Roman"/>
          <w:kern w:val="0"/>
          <w:sz w:val="32"/>
          <w:szCs w:val="24"/>
          <w:lang w:val="en-US" w:eastAsia="zh-CN"/>
        </w:rPr>
      </w:pPr>
      <w:r>
        <w:rPr>
          <w:rFonts w:hint="eastAsia" w:ascii="仿宋_GB2312" w:hAnsi="仿宋_GB2312" w:eastAsia="仿宋_GB2312" w:cs="Times New Roman"/>
          <w:kern w:val="0"/>
          <w:sz w:val="32"/>
          <w:szCs w:val="24"/>
          <w:lang w:val="en-US" w:eastAsia="zh-CN"/>
        </w:rPr>
        <w:t>2080506机关事业单位职业年金缴费支出0.29万元；</w:t>
      </w:r>
    </w:p>
    <w:p w14:paraId="2C6DCC1A">
      <w:pPr>
        <w:spacing w:beforeLines="0" w:afterLines="0" w:line="360" w:lineRule="auto"/>
        <w:ind w:firstLine="640"/>
        <w:rPr>
          <w:rFonts w:hint="eastAsia" w:ascii="仿宋_GB2312" w:hAnsi="仿宋_GB2312" w:eastAsia="仿宋_GB2312" w:cs="Times New Roman"/>
          <w:kern w:val="0"/>
          <w:sz w:val="32"/>
          <w:szCs w:val="24"/>
          <w:lang w:val="en-US" w:eastAsia="zh-CN"/>
        </w:rPr>
      </w:pPr>
      <w:r>
        <w:rPr>
          <w:rFonts w:hint="eastAsia" w:ascii="仿宋_GB2312" w:hAnsi="仿宋_GB2312" w:eastAsia="仿宋_GB2312" w:cs="Times New Roman"/>
          <w:kern w:val="0"/>
          <w:sz w:val="32"/>
          <w:szCs w:val="24"/>
          <w:lang w:val="en-US" w:eastAsia="zh-CN"/>
        </w:rPr>
        <w:t>2110699其他退耕还林还草支出0.54万元；</w:t>
      </w:r>
    </w:p>
    <w:p w14:paraId="15ADB344">
      <w:pPr>
        <w:spacing w:beforeLines="0" w:afterLines="0" w:line="360" w:lineRule="auto"/>
        <w:ind w:firstLine="640"/>
        <w:rPr>
          <w:rFonts w:hint="eastAsia" w:ascii="仿宋_GB2312" w:hAnsi="仿宋_GB2312" w:eastAsia="仿宋_GB2312" w:cs="Times New Roman"/>
          <w:kern w:val="0"/>
          <w:sz w:val="32"/>
          <w:szCs w:val="24"/>
          <w:lang w:val="en-US" w:eastAsia="zh-CN"/>
        </w:rPr>
      </w:pPr>
      <w:r>
        <w:rPr>
          <w:rFonts w:hint="eastAsia" w:ascii="仿宋_GB2312" w:hAnsi="仿宋_GB2312" w:eastAsia="仿宋_GB2312" w:cs="Times New Roman"/>
          <w:kern w:val="0"/>
          <w:sz w:val="32"/>
          <w:szCs w:val="24"/>
          <w:lang w:val="en-US" w:eastAsia="zh-CN"/>
        </w:rPr>
        <w:t>2130201行政运行支出251.32万元；</w:t>
      </w:r>
    </w:p>
    <w:p w14:paraId="1724459D">
      <w:pPr>
        <w:spacing w:beforeLines="0" w:afterLines="0" w:line="360" w:lineRule="auto"/>
        <w:ind w:firstLine="640"/>
        <w:rPr>
          <w:rFonts w:hint="eastAsia" w:ascii="仿宋_GB2312" w:hAnsi="仿宋_GB2312" w:eastAsia="仿宋_GB2312" w:cs="Times New Roman"/>
          <w:kern w:val="0"/>
          <w:sz w:val="32"/>
          <w:szCs w:val="24"/>
          <w:lang w:val="en-US" w:eastAsia="zh-CN"/>
        </w:rPr>
      </w:pPr>
      <w:r>
        <w:rPr>
          <w:rFonts w:hint="eastAsia" w:ascii="仿宋_GB2312" w:hAnsi="仿宋_GB2312" w:eastAsia="仿宋_GB2312" w:cs="Times New Roman"/>
          <w:kern w:val="0"/>
          <w:sz w:val="32"/>
          <w:szCs w:val="24"/>
          <w:lang w:val="en-US" w:eastAsia="zh-CN"/>
        </w:rPr>
        <w:t>2130202一般行政管理事务支出840.91万元；</w:t>
      </w:r>
    </w:p>
    <w:p w14:paraId="06DE7EF9">
      <w:pPr>
        <w:spacing w:beforeLines="0" w:afterLines="0" w:line="360" w:lineRule="auto"/>
        <w:ind w:firstLine="640"/>
        <w:rPr>
          <w:rFonts w:hint="eastAsia" w:ascii="仿宋_GB2312" w:hAnsi="仿宋_GB2312" w:eastAsia="仿宋_GB2312" w:cs="Times New Roman"/>
          <w:kern w:val="0"/>
          <w:sz w:val="32"/>
          <w:szCs w:val="24"/>
          <w:lang w:val="en-US" w:eastAsia="zh-CN"/>
        </w:rPr>
      </w:pPr>
      <w:r>
        <w:rPr>
          <w:rFonts w:hint="eastAsia" w:ascii="仿宋_GB2312" w:hAnsi="仿宋_GB2312" w:eastAsia="仿宋_GB2312" w:cs="Times New Roman"/>
          <w:kern w:val="0"/>
          <w:sz w:val="32"/>
          <w:szCs w:val="24"/>
          <w:lang w:val="en-US" w:eastAsia="zh-CN"/>
        </w:rPr>
        <w:t>2130205森林资源培育支出225.00万元；</w:t>
      </w:r>
    </w:p>
    <w:p w14:paraId="55F05C2C">
      <w:pPr>
        <w:spacing w:beforeLines="0" w:afterLines="0" w:line="360" w:lineRule="auto"/>
        <w:ind w:firstLine="640"/>
        <w:rPr>
          <w:rFonts w:hint="eastAsia" w:ascii="仿宋_GB2312" w:hAnsi="仿宋_GB2312" w:eastAsia="仿宋_GB2312" w:cs="Times New Roman"/>
          <w:kern w:val="0"/>
          <w:sz w:val="32"/>
          <w:szCs w:val="24"/>
          <w:lang w:val="en-US" w:eastAsia="zh-CN"/>
        </w:rPr>
      </w:pPr>
      <w:r>
        <w:rPr>
          <w:rFonts w:hint="eastAsia" w:ascii="仿宋_GB2312" w:hAnsi="仿宋_GB2312" w:eastAsia="仿宋_GB2312" w:cs="Times New Roman"/>
          <w:kern w:val="0"/>
          <w:sz w:val="32"/>
          <w:szCs w:val="24"/>
          <w:lang w:val="en-US" w:eastAsia="zh-CN"/>
        </w:rPr>
        <w:t>2130299其他林业和草原支出459.35万元；</w:t>
      </w:r>
    </w:p>
    <w:p w14:paraId="6D29C8AE">
      <w:pPr>
        <w:spacing w:beforeLines="0" w:afterLines="0" w:line="360" w:lineRule="auto"/>
        <w:ind w:firstLine="640"/>
        <w:rPr>
          <w:rFonts w:hint="eastAsia" w:ascii="仿宋_GB2312" w:hAnsi="仿宋_GB2312" w:eastAsia="仿宋_GB2312" w:cs="Times New Roman"/>
          <w:kern w:val="0"/>
          <w:sz w:val="32"/>
          <w:szCs w:val="24"/>
          <w:lang w:val="en-US" w:eastAsia="zh-CN"/>
        </w:rPr>
      </w:pPr>
      <w:r>
        <w:rPr>
          <w:rFonts w:hint="eastAsia" w:ascii="仿宋_GB2312" w:hAnsi="仿宋_GB2312" w:eastAsia="仿宋_GB2312" w:cs="Times New Roman"/>
          <w:kern w:val="0"/>
          <w:sz w:val="32"/>
          <w:szCs w:val="24"/>
          <w:lang w:val="en-US" w:eastAsia="zh-CN"/>
        </w:rPr>
        <w:t>2299999其他支出12.64万元；</w:t>
      </w:r>
    </w:p>
    <w:p w14:paraId="6DD4C4BD">
      <w:pPr>
        <w:spacing w:beforeLines="0" w:afterLines="0" w:line="360" w:lineRule="auto"/>
        <w:ind w:firstLine="640"/>
        <w:rPr>
          <w:rFonts w:hint="eastAsia" w:ascii="仿宋_GB2312" w:hAnsi="仿宋_GB2312" w:eastAsia="仿宋_GB2312" w:cs="Times New Roman"/>
          <w:kern w:val="0"/>
          <w:sz w:val="32"/>
          <w:szCs w:val="24"/>
          <w:lang w:val="en-US" w:eastAsia="zh-CN"/>
        </w:rPr>
      </w:pPr>
      <w:r>
        <w:rPr>
          <w:rFonts w:hint="eastAsia" w:ascii="仿宋_GB2312" w:hAnsi="仿宋_GB2312" w:eastAsia="仿宋_GB2312" w:cs="Times New Roman"/>
          <w:kern w:val="0"/>
          <w:sz w:val="32"/>
          <w:szCs w:val="24"/>
          <w:lang w:val="zh-CN"/>
        </w:rPr>
        <w:t>2130209森林生态效益补偿</w:t>
      </w:r>
      <w:r>
        <w:rPr>
          <w:rFonts w:hint="eastAsia" w:ascii="仿宋_GB2312" w:hAnsi="仿宋_GB2312" w:eastAsia="仿宋_GB2312" w:cs="Times New Roman"/>
          <w:kern w:val="0"/>
          <w:sz w:val="32"/>
          <w:szCs w:val="24"/>
          <w:lang w:val="en-US" w:eastAsia="zh-CN"/>
        </w:rPr>
        <w:t>100万元。</w:t>
      </w:r>
    </w:p>
    <w:p w14:paraId="7C521AC6">
      <w:pPr>
        <w:spacing w:beforeLines="0" w:afterLines="0" w:line="360" w:lineRule="auto"/>
        <w:ind w:firstLine="640"/>
        <w:rPr>
          <w:rFonts w:hint="eastAsia"/>
          <w:sz w:val="32"/>
          <w:szCs w:val="24"/>
          <w:lang w:val="zh-CN"/>
        </w:rPr>
      </w:pPr>
      <w:r>
        <w:rPr>
          <w:rFonts w:hint="eastAsia" w:ascii="黑体" w:hAnsi="黑体" w:eastAsia="黑体"/>
          <w:sz w:val="32"/>
          <w:szCs w:val="24"/>
          <w:lang w:val="zh-CN"/>
        </w:rPr>
        <w:t>六、一般公共预算财政拨款基本支出决算情况说明</w:t>
      </w:r>
    </w:p>
    <w:p w14:paraId="19945339">
      <w:pPr>
        <w:shd w:val="clear" w:color="auto" w:fill="FFFFFF"/>
        <w:spacing w:beforeLines="0" w:afterLines="0" w:line="360" w:lineRule="auto"/>
        <w:ind w:firstLine="640"/>
        <w:rPr>
          <w:rFonts w:hint="eastAsia" w:ascii="仿宋_GB2312" w:hAnsi="仿宋_GB2312" w:eastAsia="仿宋_GB2312"/>
          <w:kern w:val="0"/>
          <w:sz w:val="32"/>
          <w:szCs w:val="24"/>
          <w:lang w:val="en-US"/>
        </w:rPr>
      </w:pPr>
      <w:r>
        <w:rPr>
          <w:rFonts w:hint="eastAsia" w:ascii="仿宋_GB2312" w:hAnsi="仿宋_GB2312" w:eastAsia="仿宋_GB2312"/>
          <w:kern w:val="0"/>
          <w:sz w:val="32"/>
          <w:szCs w:val="24"/>
          <w:lang w:val="en-US"/>
        </w:rPr>
        <w:t>2021年度一般公共预算财政拨款基本支出282.03万元，其中：</w:t>
      </w:r>
    </w:p>
    <w:p w14:paraId="66D65163">
      <w:pPr>
        <w:shd w:val="clear" w:color="auto" w:fill="FFFFFF"/>
        <w:spacing w:beforeLines="0" w:afterLines="0"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人员经费232.52万元，包括：基本工资、津贴补贴、奖金、绩效工资、机关事业单位基本养老保险缴费、职业年金缴费、职工基本医疗保险缴费、公务员医疗补助缴费、其他社会保障缴费、住房公积金、其他工资福利支出。</w:t>
      </w:r>
    </w:p>
    <w:p w14:paraId="371B14CD">
      <w:pPr>
        <w:shd w:val="clear" w:color="auto" w:fill="FFFFFF"/>
        <w:spacing w:beforeLines="0" w:afterLines="0"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公用经费49.51万元，包括：办公费、电费、邮电费、差旅费、培训费、工会经费、福利费、其他交通费用、其他商品和服务支出。</w:t>
      </w:r>
    </w:p>
    <w:p w14:paraId="32C13F5E">
      <w:pPr>
        <w:spacing w:beforeLines="0" w:afterLines="0" w:line="360" w:lineRule="auto"/>
        <w:ind w:firstLine="640"/>
        <w:rPr>
          <w:rFonts w:hint="eastAsia"/>
          <w:sz w:val="32"/>
          <w:szCs w:val="24"/>
          <w:lang w:val="en-US"/>
        </w:rPr>
      </w:pPr>
      <w:r>
        <w:rPr>
          <w:rFonts w:hint="eastAsia" w:ascii="黑体" w:hAnsi="黑体" w:eastAsia="黑体"/>
          <w:sz w:val="32"/>
          <w:szCs w:val="24"/>
          <w:lang w:val="zh-CN"/>
        </w:rPr>
        <w:t>七、一般公共预算财政拨款</w:t>
      </w:r>
      <w:r>
        <w:rPr>
          <w:rFonts w:hint="eastAsia" w:ascii="黑体" w:hAnsi="黑体" w:eastAsia="黑体"/>
          <w:kern w:val="0"/>
          <w:sz w:val="32"/>
          <w:szCs w:val="24"/>
          <w:lang w:val="en-US"/>
        </w:rPr>
        <w:t>“三公”</w:t>
      </w:r>
      <w:r>
        <w:rPr>
          <w:rFonts w:hint="eastAsia" w:ascii="黑体" w:hAnsi="黑体" w:eastAsia="黑体"/>
          <w:sz w:val="32"/>
          <w:szCs w:val="24"/>
          <w:lang w:val="zh-CN"/>
        </w:rPr>
        <w:t>经费支出决算情况说明</w:t>
      </w:r>
    </w:p>
    <w:p w14:paraId="47869AD5">
      <w:pPr>
        <w:shd w:val="clear" w:color="auto" w:fill="FFFFFF"/>
        <w:spacing w:beforeLines="0" w:afterLines="0"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2021年度一般公共预算“三公”经费支出决算0.00万元，比上年增加0.00万元，增长0.00%，主要原因是：</w:t>
      </w:r>
      <w:r>
        <w:rPr>
          <w:rFonts w:hint="eastAsia" w:ascii="仿宋_GB2312" w:hAnsi="仿宋_GB2312" w:eastAsia="仿宋_GB2312"/>
          <w:kern w:val="0"/>
          <w:sz w:val="32"/>
          <w:szCs w:val="24"/>
          <w:lang w:val="en-US" w:eastAsia="zh-CN"/>
        </w:rPr>
        <w:t>我单位无此项支出</w:t>
      </w:r>
      <w:r>
        <w:rPr>
          <w:rFonts w:hint="eastAsia" w:ascii="仿宋_GB2312" w:hAnsi="仿宋_GB2312" w:eastAsia="仿宋_GB2312"/>
          <w:kern w:val="0"/>
          <w:sz w:val="32"/>
          <w:szCs w:val="24"/>
          <w:lang w:val="en-US"/>
        </w:rPr>
        <w:t>。其中：因公出国（境）费支出0.00万元，占0.00%，比上年增加0.00万元，增长0.00%，主要原因是：</w:t>
      </w:r>
      <w:r>
        <w:rPr>
          <w:rFonts w:hint="eastAsia" w:ascii="仿宋_GB2312" w:hAnsi="仿宋_GB2312" w:eastAsia="仿宋_GB2312"/>
          <w:kern w:val="0"/>
          <w:sz w:val="32"/>
          <w:szCs w:val="24"/>
          <w:lang w:val="en-US" w:eastAsia="zh-CN"/>
        </w:rPr>
        <w:t>我单位无此项支出</w:t>
      </w:r>
      <w:r>
        <w:rPr>
          <w:rFonts w:hint="eastAsia" w:ascii="仿宋_GB2312" w:hAnsi="仿宋_GB2312" w:eastAsia="仿宋_GB2312"/>
          <w:kern w:val="0"/>
          <w:sz w:val="32"/>
          <w:szCs w:val="24"/>
          <w:lang w:val="en-US"/>
        </w:rPr>
        <w:t>；公务用车购置及运行维护费支出0.00万元，占0.00%，比上年增加0.00万元，增长0.00%，主要原因是：</w:t>
      </w:r>
      <w:r>
        <w:rPr>
          <w:rFonts w:hint="eastAsia" w:ascii="仿宋_GB2312" w:hAnsi="仿宋_GB2312" w:eastAsia="仿宋_GB2312"/>
          <w:kern w:val="0"/>
          <w:sz w:val="32"/>
          <w:szCs w:val="24"/>
          <w:lang w:val="en-US" w:eastAsia="zh-CN"/>
        </w:rPr>
        <w:t>我单位无此项支出</w:t>
      </w:r>
      <w:r>
        <w:rPr>
          <w:rFonts w:hint="eastAsia" w:ascii="仿宋_GB2312" w:hAnsi="仿宋_GB2312" w:eastAsia="仿宋_GB2312"/>
          <w:kern w:val="0"/>
          <w:sz w:val="32"/>
          <w:szCs w:val="24"/>
          <w:lang w:val="en-US"/>
        </w:rPr>
        <w:t>；公务接待费支出0.00万元，占0.00%，比上年增加0.00万元，增长0.00%，主要原因是：</w:t>
      </w:r>
      <w:r>
        <w:rPr>
          <w:rFonts w:hint="eastAsia" w:ascii="仿宋_GB2312" w:hAnsi="仿宋_GB2312" w:eastAsia="仿宋_GB2312"/>
          <w:kern w:val="0"/>
          <w:sz w:val="32"/>
          <w:szCs w:val="24"/>
          <w:lang w:val="en-US" w:eastAsia="zh-CN"/>
        </w:rPr>
        <w:t>我单位无此项支出</w:t>
      </w:r>
      <w:r>
        <w:rPr>
          <w:rFonts w:hint="eastAsia" w:ascii="仿宋_GB2312" w:hAnsi="仿宋_GB2312" w:eastAsia="仿宋_GB2312"/>
          <w:kern w:val="0"/>
          <w:sz w:val="32"/>
          <w:szCs w:val="24"/>
          <w:lang w:val="en-US"/>
        </w:rPr>
        <w:t>。具体情况如下：</w:t>
      </w:r>
    </w:p>
    <w:p w14:paraId="4CEC75DA">
      <w:pPr>
        <w:shd w:val="clear" w:color="auto" w:fill="FFFFFF"/>
        <w:spacing w:beforeLines="0" w:afterLines="0"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因公出国（境）费支出0.00万元，本年单位无因公出国（境）费支出。单位全年安排的因公出国（境）团组0个，因公出国（境）0人次。</w:t>
      </w:r>
    </w:p>
    <w:p w14:paraId="2B170B91">
      <w:pPr>
        <w:shd w:val="clear" w:color="auto" w:fill="FFFFFF"/>
        <w:spacing w:beforeLines="0" w:afterLines="0"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公务用车购置及运行维护费0.00万元，其中：公务用车购置费0.00万元，公务用车运行维护费0.00万元。公务用车运行维护费开支内容</w:t>
      </w:r>
      <w:r>
        <w:rPr>
          <w:rFonts w:hint="eastAsia" w:ascii="仿宋_GB2312" w:hAnsi="仿宋_GB2312" w:eastAsia="仿宋_GB2312"/>
          <w:kern w:val="0"/>
          <w:sz w:val="32"/>
          <w:szCs w:val="24"/>
          <w:lang w:val="en-US" w:eastAsia="zh-CN"/>
        </w:rPr>
        <w:t>包括我单位无此项支出</w:t>
      </w:r>
      <w:r>
        <w:rPr>
          <w:rFonts w:hint="eastAsia" w:ascii="仿宋_GB2312" w:hAnsi="仿宋_GB2312" w:eastAsia="仿宋_GB2312"/>
          <w:kern w:val="0"/>
          <w:sz w:val="32"/>
          <w:szCs w:val="24"/>
          <w:lang w:val="en-US"/>
        </w:rPr>
        <w:t>。公务用车购置数0辆，公务用车保有量0辆。</w:t>
      </w:r>
    </w:p>
    <w:p w14:paraId="2BAD2599">
      <w:pPr>
        <w:shd w:val="clear" w:color="auto" w:fill="FFFFFF"/>
        <w:spacing w:beforeLines="0" w:afterLines="0"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公务接待费0.00万元，开支内容</w:t>
      </w:r>
      <w:r>
        <w:rPr>
          <w:rFonts w:hint="eastAsia" w:ascii="仿宋_GB2312" w:hAnsi="仿宋_GB2312" w:eastAsia="仿宋_GB2312"/>
          <w:kern w:val="0"/>
          <w:sz w:val="32"/>
          <w:szCs w:val="24"/>
          <w:lang w:val="en-US" w:eastAsia="zh-CN"/>
        </w:rPr>
        <w:t>包括我单位无此项支出</w:t>
      </w:r>
      <w:r>
        <w:rPr>
          <w:rFonts w:hint="eastAsia" w:ascii="仿宋_GB2312" w:hAnsi="仿宋_GB2312" w:eastAsia="仿宋_GB2312"/>
          <w:kern w:val="0"/>
          <w:sz w:val="32"/>
          <w:szCs w:val="24"/>
          <w:lang w:val="en-US"/>
        </w:rPr>
        <w:t>。单位全年安排的国内公务接待0批次，0人次。</w:t>
      </w:r>
    </w:p>
    <w:p w14:paraId="556AF2B5">
      <w:pPr>
        <w:shd w:val="clear" w:color="auto" w:fill="FFFFFF"/>
        <w:spacing w:beforeLines="0" w:afterLines="0" w:line="360" w:lineRule="auto"/>
        <w:ind w:firstLine="640"/>
        <w:rPr>
          <w:rFonts w:hint="eastAsia"/>
          <w:kern w:val="0"/>
          <w:sz w:val="32"/>
          <w:szCs w:val="24"/>
          <w:lang w:val="en-US"/>
        </w:rPr>
      </w:pPr>
      <w:r>
        <w:rPr>
          <w:rFonts w:hint="eastAsia" w:ascii="仿宋_GB2312" w:hAnsi="仿宋_GB2312" w:eastAsia="仿宋_GB2312"/>
          <w:kern w:val="0"/>
          <w:sz w:val="32"/>
          <w:szCs w:val="24"/>
          <w:lang w:val="en-US"/>
        </w:rPr>
        <w:t>与年初预算</w:t>
      </w:r>
      <w:r>
        <w:rPr>
          <w:rFonts w:hint="eastAsia" w:ascii="仿宋_GB2312" w:hAnsi="仿宋_GB2312" w:eastAsia="仿宋_GB2312"/>
          <w:kern w:val="0"/>
          <w:sz w:val="32"/>
          <w:szCs w:val="24"/>
          <w:lang w:val="zh-CN"/>
        </w:rPr>
        <w:t>数</w:t>
      </w:r>
      <w:r>
        <w:rPr>
          <w:rFonts w:hint="eastAsia" w:ascii="仿宋_GB2312" w:hAnsi="仿宋_GB2312" w:eastAsia="仿宋_GB2312"/>
          <w:kern w:val="0"/>
          <w:sz w:val="32"/>
          <w:szCs w:val="24"/>
          <w:lang w:val="en-US"/>
        </w:rPr>
        <w:t>相比情况:一般公共预算</w:t>
      </w:r>
      <w:r>
        <w:rPr>
          <w:rFonts w:hint="eastAsia"/>
          <w:kern w:val="0"/>
          <w:sz w:val="32"/>
          <w:szCs w:val="24"/>
          <w:lang w:val="en-US"/>
        </w:rPr>
        <w:t>“</w:t>
      </w:r>
      <w:r>
        <w:rPr>
          <w:rFonts w:hint="eastAsia" w:ascii="仿宋_GB2312" w:hAnsi="仿宋_GB2312" w:eastAsia="仿宋_GB2312"/>
          <w:kern w:val="0"/>
          <w:sz w:val="32"/>
          <w:szCs w:val="24"/>
          <w:lang w:val="en-US"/>
        </w:rPr>
        <w:t>三公</w:t>
      </w:r>
      <w:r>
        <w:rPr>
          <w:rFonts w:hint="eastAsia"/>
          <w:kern w:val="0"/>
          <w:sz w:val="32"/>
          <w:szCs w:val="24"/>
          <w:lang w:val="en-US"/>
        </w:rPr>
        <w:t>”</w:t>
      </w:r>
      <w:r>
        <w:rPr>
          <w:rFonts w:hint="eastAsia" w:ascii="仿宋_GB2312" w:hAnsi="仿宋_GB2312" w:eastAsia="仿宋_GB2312"/>
          <w:kern w:val="0"/>
          <w:sz w:val="32"/>
          <w:szCs w:val="24"/>
          <w:lang w:val="en-US"/>
        </w:rPr>
        <w:t>经费支出年初预算数0.00万元，决算数0.00万元，预决算差异率0.00%，主要原因是：本年单位无</w:t>
      </w:r>
      <w:r>
        <w:rPr>
          <w:rFonts w:hint="eastAsia"/>
          <w:kern w:val="0"/>
          <w:sz w:val="32"/>
          <w:szCs w:val="24"/>
          <w:lang w:val="en-US"/>
        </w:rPr>
        <w:t>“</w:t>
      </w:r>
      <w:r>
        <w:rPr>
          <w:rFonts w:hint="eastAsia" w:ascii="仿宋_GB2312" w:hAnsi="仿宋_GB2312" w:eastAsia="仿宋_GB2312"/>
          <w:kern w:val="0"/>
          <w:sz w:val="32"/>
          <w:szCs w:val="24"/>
          <w:lang w:val="en-US"/>
        </w:rPr>
        <w:t>三公</w:t>
      </w:r>
      <w:r>
        <w:rPr>
          <w:rFonts w:hint="eastAsia"/>
          <w:kern w:val="0"/>
          <w:sz w:val="32"/>
          <w:szCs w:val="24"/>
          <w:lang w:val="en-US"/>
        </w:rPr>
        <w:t>”</w:t>
      </w:r>
      <w:r>
        <w:rPr>
          <w:rFonts w:hint="eastAsia" w:ascii="仿宋_GB2312" w:hAnsi="仿宋_GB2312" w:eastAsia="仿宋_GB2312"/>
          <w:kern w:val="0"/>
          <w:sz w:val="32"/>
          <w:szCs w:val="24"/>
          <w:lang w:val="en-US"/>
        </w:rPr>
        <w:t>经费支出。其中：因公出国（境）费预算数0.00万元，决算数0.00万元，预决算差异率0.00%，主要原因是：本年单位无因公出国（境）费支出；公务用车购置费预算数0.00万元，决算数0.00万元，预决算差异率0.00%，主要原因是：本年单位无公务用车购置经费支出；公务用车运行费预算数0.00万元，决算数0.00万元，预决算差异率0.00%，主要原因是：本年单位公务用车运行费支出；公务接待费预算数0.00万元，决算数0.00万元，预决算差异率0.00%，主要原因是：</w:t>
      </w:r>
      <w:r>
        <w:rPr>
          <w:rFonts w:hint="eastAsia" w:ascii="仿宋_GB2312" w:hAnsi="仿宋_GB2312" w:eastAsia="仿宋_GB2312"/>
          <w:kern w:val="0"/>
          <w:sz w:val="32"/>
          <w:szCs w:val="24"/>
          <w:lang w:val="en-US" w:eastAsia="zh-CN"/>
        </w:rPr>
        <w:t>本单位无</w:t>
      </w:r>
      <w:r>
        <w:rPr>
          <w:rFonts w:hint="eastAsia" w:ascii="仿宋_GB2312" w:hAnsi="仿宋_GB2312" w:eastAsia="仿宋_GB2312"/>
          <w:kern w:val="0"/>
          <w:sz w:val="32"/>
          <w:szCs w:val="24"/>
          <w:lang w:val="en-US"/>
        </w:rPr>
        <w:t>公务接待费</w:t>
      </w:r>
      <w:r>
        <w:rPr>
          <w:rFonts w:hint="eastAsia" w:ascii="仿宋_GB2312" w:hAnsi="仿宋_GB2312" w:eastAsia="仿宋_GB2312"/>
          <w:kern w:val="0"/>
          <w:sz w:val="32"/>
          <w:szCs w:val="24"/>
          <w:lang w:val="en-US" w:eastAsia="zh-CN"/>
        </w:rPr>
        <w:t>支出</w:t>
      </w:r>
      <w:r>
        <w:rPr>
          <w:rFonts w:hint="eastAsia" w:ascii="仿宋_GB2312" w:hAnsi="仿宋_GB2312" w:eastAsia="仿宋_GB2312"/>
          <w:kern w:val="0"/>
          <w:sz w:val="32"/>
          <w:szCs w:val="24"/>
          <w:lang w:val="en-US"/>
        </w:rPr>
        <w:t>。</w:t>
      </w:r>
    </w:p>
    <w:p w14:paraId="5882014A">
      <w:pPr>
        <w:spacing w:beforeLines="0" w:afterLines="0" w:line="360" w:lineRule="auto"/>
        <w:ind w:firstLine="640"/>
        <w:rPr>
          <w:rFonts w:hint="eastAsia"/>
          <w:sz w:val="32"/>
          <w:szCs w:val="24"/>
          <w:lang w:val="zh-CN"/>
        </w:rPr>
      </w:pPr>
      <w:r>
        <w:rPr>
          <w:rFonts w:hint="eastAsia" w:ascii="黑体" w:hAnsi="黑体" w:eastAsia="黑体"/>
          <w:sz w:val="32"/>
          <w:szCs w:val="24"/>
          <w:lang w:val="zh-CN"/>
        </w:rPr>
        <w:t>八、政府性基金预算财政拨款收入支出决算情况说明</w:t>
      </w:r>
    </w:p>
    <w:p w14:paraId="14A35350">
      <w:pPr>
        <w:shd w:val="clear" w:color="auto" w:fill="FFFFFF"/>
        <w:spacing w:beforeLines="0" w:afterLines="0" w:line="360" w:lineRule="auto"/>
        <w:ind w:firstLine="640"/>
        <w:rPr>
          <w:rFonts w:hint="eastAsia" w:ascii="仿宋_GB2312" w:hAnsi="仿宋_GB2312" w:eastAsia="仿宋_GB2312"/>
          <w:kern w:val="0"/>
          <w:sz w:val="32"/>
          <w:szCs w:val="24"/>
          <w:lang w:val="en-US"/>
        </w:rPr>
      </w:pPr>
      <w:r>
        <w:rPr>
          <w:rFonts w:hint="eastAsia" w:ascii="仿宋_GB2312" w:hAnsi="仿宋_GB2312" w:eastAsia="仿宋_GB2312"/>
          <w:kern w:val="0"/>
          <w:sz w:val="32"/>
          <w:szCs w:val="24"/>
          <w:lang w:val="en-US"/>
        </w:rPr>
        <w:t>2021年度政府性基金预算财政拨款收入3,798.43万元，与上年相比，增加3,798.43万元，增长100.00%,主要原因是：</w:t>
      </w:r>
      <w:r>
        <w:rPr>
          <w:rFonts w:hint="eastAsia" w:ascii="仿宋_GB2312" w:hAnsi="仿宋_GB2312" w:eastAsia="仿宋_GB2312"/>
          <w:kern w:val="0"/>
          <w:sz w:val="32"/>
          <w:szCs w:val="24"/>
          <w:lang w:val="en-US" w:eastAsia="zh-CN"/>
        </w:rPr>
        <w:t>政府性基金预算收入的增加，主要是政府性基金项目收入增加</w:t>
      </w:r>
      <w:r>
        <w:rPr>
          <w:rFonts w:hint="eastAsia" w:ascii="仿宋_GB2312" w:hAnsi="仿宋_GB2312" w:eastAsia="仿宋_GB2312"/>
          <w:kern w:val="0"/>
          <w:sz w:val="32"/>
          <w:szCs w:val="24"/>
          <w:lang w:val="en-US"/>
        </w:rPr>
        <w:t>。政府性基金预算财政拨款支出3,798.43万元，与上年相比，增加3,798.43万元，增长100.00%,主要原因是：</w:t>
      </w:r>
      <w:r>
        <w:rPr>
          <w:rFonts w:hint="eastAsia" w:ascii="仿宋_GB2312" w:hAnsi="仿宋_GB2312" w:eastAsia="仿宋_GB2312"/>
          <w:kern w:val="0"/>
          <w:sz w:val="32"/>
          <w:szCs w:val="24"/>
          <w:lang w:val="en-US" w:eastAsia="zh-CN"/>
        </w:rPr>
        <w:t>政府性基金预算支出的增加，主要是政府性基金项目支出增加</w:t>
      </w:r>
      <w:r>
        <w:rPr>
          <w:rFonts w:hint="eastAsia" w:ascii="仿宋_GB2312" w:hAnsi="仿宋_GB2312" w:eastAsia="仿宋_GB2312"/>
          <w:kern w:val="0"/>
          <w:sz w:val="32"/>
          <w:szCs w:val="24"/>
          <w:lang w:val="en-US"/>
        </w:rPr>
        <w:t>。</w:t>
      </w:r>
    </w:p>
    <w:p w14:paraId="133DE54B">
      <w:pPr>
        <w:shd w:val="clear" w:color="auto" w:fill="FFFFFF"/>
        <w:spacing w:beforeLines="0" w:afterLines="0" w:line="360" w:lineRule="auto"/>
        <w:ind w:firstLine="640"/>
        <w:rPr>
          <w:rFonts w:hint="eastAsia"/>
          <w:color w:val="auto"/>
          <w:kern w:val="0"/>
          <w:sz w:val="32"/>
          <w:szCs w:val="24"/>
          <w:lang w:val="en-US"/>
        </w:rPr>
      </w:pPr>
      <w:r>
        <w:rPr>
          <w:rFonts w:hint="eastAsia" w:ascii="仿宋_GB2312" w:hAnsi="仿宋_GB2312" w:eastAsia="仿宋_GB2312"/>
          <w:color w:val="000000"/>
          <w:sz w:val="32"/>
          <w:szCs w:val="24"/>
          <w:lang w:val="en-US"/>
        </w:rPr>
        <w:t>政府性基金预算财政拨款支出</w:t>
      </w:r>
      <w:r>
        <w:rPr>
          <w:rFonts w:hint="eastAsia" w:ascii="仿宋_GB2312" w:hAnsi="仿宋_GB2312" w:eastAsia="仿宋_GB2312"/>
          <w:color w:val="000000"/>
          <w:kern w:val="0"/>
          <w:sz w:val="32"/>
          <w:szCs w:val="24"/>
          <w:lang w:val="en-US"/>
        </w:rPr>
        <w:t>3,798.43</w:t>
      </w:r>
      <w:r>
        <w:rPr>
          <w:rFonts w:hint="eastAsia" w:ascii="仿宋_GB2312" w:hAnsi="仿宋_GB2312" w:eastAsia="仿宋_GB2312"/>
          <w:color w:val="000000"/>
          <w:sz w:val="32"/>
          <w:szCs w:val="24"/>
          <w:lang w:val="en-US"/>
        </w:rPr>
        <w:t>万元。按功能分类科目项级科目公开，其中：</w:t>
      </w:r>
    </w:p>
    <w:p w14:paraId="1735FAC2">
      <w:pPr>
        <w:shd w:val="clear" w:color="auto" w:fill="FFFFFF"/>
        <w:spacing w:beforeLines="0" w:afterLines="0" w:line="360" w:lineRule="auto"/>
        <w:ind w:firstLine="640"/>
        <w:rPr>
          <w:rFonts w:hint="eastAsia" w:ascii="仿宋_GB2312" w:hAnsi="仿宋_GB2312" w:eastAsia="仿宋_GB2312" w:cs="Times New Roman"/>
          <w:kern w:val="0"/>
          <w:sz w:val="32"/>
          <w:szCs w:val="24"/>
          <w:lang w:val="en-US" w:eastAsia="zh-CN"/>
        </w:rPr>
      </w:pPr>
      <w:r>
        <w:rPr>
          <w:rFonts w:hint="eastAsia" w:ascii="仿宋_GB2312" w:hAnsi="仿宋_GB2312" w:eastAsia="仿宋_GB2312" w:cs="Times New Roman"/>
          <w:kern w:val="0"/>
          <w:sz w:val="32"/>
          <w:szCs w:val="24"/>
          <w:lang w:val="en-US"/>
        </w:rPr>
        <w:t>2120801征地和拆迁补偿支出2249.59</w:t>
      </w:r>
      <w:r>
        <w:rPr>
          <w:rFonts w:hint="eastAsia" w:ascii="仿宋_GB2312" w:hAnsi="仿宋_GB2312" w:eastAsia="仿宋_GB2312" w:cs="Times New Roman"/>
          <w:kern w:val="0"/>
          <w:sz w:val="32"/>
          <w:szCs w:val="24"/>
          <w:lang w:val="en-US" w:eastAsia="zh-CN"/>
        </w:rPr>
        <w:t>万元；</w:t>
      </w:r>
    </w:p>
    <w:p w14:paraId="3AA4C255">
      <w:pPr>
        <w:shd w:val="clear" w:color="auto" w:fill="FFFFFF"/>
        <w:spacing w:beforeLines="0" w:afterLines="0" w:line="360" w:lineRule="auto"/>
        <w:ind w:firstLine="640"/>
        <w:rPr>
          <w:rFonts w:hint="eastAsia" w:ascii="仿宋_GB2312" w:hAnsi="仿宋_GB2312" w:eastAsia="仿宋_GB2312"/>
          <w:color w:val="auto"/>
          <w:kern w:val="0"/>
          <w:sz w:val="32"/>
          <w:szCs w:val="24"/>
          <w:lang w:val="en-US"/>
        </w:rPr>
      </w:pPr>
      <w:r>
        <w:rPr>
          <w:rFonts w:hint="eastAsia" w:ascii="仿宋_GB2312" w:hAnsi="仿宋_GB2312" w:eastAsia="仿宋_GB2312" w:cs="Times New Roman"/>
          <w:kern w:val="0"/>
          <w:sz w:val="32"/>
          <w:szCs w:val="24"/>
          <w:lang w:val="en-US"/>
        </w:rPr>
        <w:t>2121302城市环境卫生</w:t>
      </w:r>
      <w:r>
        <w:rPr>
          <w:rFonts w:hint="eastAsia" w:ascii="仿宋_GB2312" w:hAnsi="仿宋_GB2312" w:eastAsia="仿宋_GB2312" w:cs="Times New Roman"/>
          <w:kern w:val="0"/>
          <w:sz w:val="32"/>
          <w:szCs w:val="24"/>
          <w:lang w:val="en-US" w:eastAsia="zh-CN"/>
        </w:rPr>
        <w:t>支出</w:t>
      </w:r>
      <w:r>
        <w:rPr>
          <w:rFonts w:hint="eastAsia" w:ascii="仿宋_GB2312" w:hAnsi="仿宋_GB2312" w:eastAsia="仿宋_GB2312" w:cs="Times New Roman"/>
          <w:kern w:val="0"/>
          <w:sz w:val="32"/>
          <w:szCs w:val="24"/>
          <w:lang w:val="en-US"/>
        </w:rPr>
        <w:t>1548.84</w:t>
      </w:r>
      <w:r>
        <w:rPr>
          <w:rFonts w:hint="eastAsia" w:ascii="仿宋_GB2312" w:hAnsi="仿宋_GB2312" w:eastAsia="仿宋_GB2312" w:cs="Times New Roman"/>
          <w:kern w:val="0"/>
          <w:sz w:val="32"/>
          <w:szCs w:val="24"/>
          <w:lang w:val="en-US" w:eastAsia="zh-CN"/>
        </w:rPr>
        <w:t>万元。</w:t>
      </w:r>
    </w:p>
    <w:p w14:paraId="138D4530">
      <w:pPr>
        <w:spacing w:beforeLines="0" w:afterLines="0" w:line="360" w:lineRule="auto"/>
        <w:ind w:firstLine="640"/>
        <w:rPr>
          <w:rFonts w:hint="eastAsia"/>
          <w:color w:val="auto"/>
          <w:sz w:val="32"/>
          <w:szCs w:val="24"/>
          <w:lang w:val="zh-CN"/>
        </w:rPr>
      </w:pPr>
      <w:r>
        <w:rPr>
          <w:rFonts w:hint="eastAsia" w:ascii="黑体" w:hAnsi="黑体" w:eastAsia="黑体"/>
          <w:color w:val="auto"/>
          <w:sz w:val="32"/>
          <w:szCs w:val="24"/>
          <w:lang w:val="zh-CN"/>
        </w:rPr>
        <w:t>九、国有资本经营预算财政拨款收入支出决算情况说明</w:t>
      </w:r>
    </w:p>
    <w:p w14:paraId="3B4400A2">
      <w:pPr>
        <w:shd w:val="clear" w:color="auto" w:fill="FFFFFF"/>
        <w:spacing w:beforeLines="0" w:afterLines="0"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我单位本年度无国有资本经营预算财政拨款收入支出，国有资本经营预算财政拨款收入支出决算表为空表。</w:t>
      </w:r>
    </w:p>
    <w:p w14:paraId="6F54ADE4">
      <w:pPr>
        <w:spacing w:beforeLines="0" w:afterLines="0" w:line="360" w:lineRule="auto"/>
        <w:ind w:firstLine="640"/>
        <w:rPr>
          <w:rFonts w:hint="eastAsia"/>
          <w:color w:val="auto"/>
          <w:sz w:val="32"/>
          <w:szCs w:val="24"/>
          <w:lang w:val="zh-CN"/>
        </w:rPr>
      </w:pPr>
      <w:r>
        <w:rPr>
          <w:rFonts w:hint="eastAsia" w:ascii="黑体" w:hAnsi="黑体" w:eastAsia="黑体"/>
          <w:color w:val="auto"/>
          <w:sz w:val="32"/>
          <w:szCs w:val="24"/>
          <w:lang w:val="zh-CN"/>
        </w:rPr>
        <w:t>十、其他重要事项的情况说明</w:t>
      </w:r>
    </w:p>
    <w:p w14:paraId="6CFFBED3">
      <w:pPr>
        <w:spacing w:beforeLines="0" w:afterLines="0" w:line="360" w:lineRule="auto"/>
        <w:ind w:firstLine="640"/>
        <w:rPr>
          <w:rFonts w:hint="eastAsia"/>
          <w:color w:val="auto"/>
          <w:sz w:val="32"/>
          <w:szCs w:val="24"/>
          <w:lang w:val="zh-CN"/>
        </w:rPr>
      </w:pPr>
      <w:r>
        <w:rPr>
          <w:rFonts w:hint="eastAsia" w:ascii="黑体" w:hAnsi="黑体" w:eastAsia="黑体"/>
          <w:color w:val="auto"/>
          <w:sz w:val="32"/>
          <w:szCs w:val="24"/>
          <w:lang w:val="zh-CN"/>
        </w:rPr>
        <w:t>（一）机关运行经费支出情况</w:t>
      </w:r>
    </w:p>
    <w:p w14:paraId="32E25763">
      <w:pPr>
        <w:shd w:val="clear" w:color="auto" w:fill="FFFFFF"/>
        <w:spacing w:beforeLines="0" w:afterLines="0"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2021年度乌鲁木齐高新技术产业开发区（乌鲁木齐市新市区）园林管理局单位公用经费49.51万元，比上年减少1.52万元，降低2.98%，主要原因是：</w:t>
      </w:r>
      <w:r>
        <w:rPr>
          <w:rFonts w:hint="eastAsia" w:ascii="仿宋_GB2312" w:hAnsi="仿宋_GB2312" w:eastAsia="仿宋_GB2312"/>
          <w:color w:val="auto"/>
          <w:kern w:val="0"/>
          <w:sz w:val="32"/>
          <w:szCs w:val="24"/>
          <w:lang w:val="en-US" w:eastAsia="zh-CN"/>
        </w:rPr>
        <w:t>大力压缩公用经费支出</w:t>
      </w:r>
      <w:r>
        <w:rPr>
          <w:rFonts w:hint="eastAsia" w:ascii="仿宋_GB2312" w:hAnsi="仿宋_GB2312" w:eastAsia="仿宋_GB2312"/>
          <w:color w:val="auto"/>
          <w:kern w:val="0"/>
          <w:sz w:val="32"/>
          <w:szCs w:val="24"/>
          <w:lang w:val="en-US"/>
        </w:rPr>
        <w:t>。</w:t>
      </w:r>
    </w:p>
    <w:p w14:paraId="07642F6C">
      <w:pPr>
        <w:spacing w:beforeLines="0" w:afterLines="0" w:line="360" w:lineRule="auto"/>
        <w:ind w:firstLine="640"/>
        <w:rPr>
          <w:rFonts w:hint="eastAsia"/>
          <w:color w:val="auto"/>
          <w:sz w:val="32"/>
          <w:szCs w:val="24"/>
          <w:lang w:val="en-US"/>
        </w:rPr>
      </w:pPr>
      <w:r>
        <w:rPr>
          <w:rFonts w:hint="eastAsia" w:ascii="黑体" w:hAnsi="黑体" w:eastAsia="黑体"/>
          <w:color w:val="auto"/>
          <w:sz w:val="32"/>
          <w:szCs w:val="24"/>
          <w:lang w:val="en-US"/>
        </w:rPr>
        <w:t>（</w:t>
      </w:r>
      <w:r>
        <w:rPr>
          <w:rFonts w:hint="eastAsia" w:ascii="黑体" w:hAnsi="黑体" w:eastAsia="黑体"/>
          <w:color w:val="auto"/>
          <w:sz w:val="32"/>
          <w:szCs w:val="24"/>
          <w:lang w:val="zh-CN"/>
        </w:rPr>
        <w:t>二</w:t>
      </w:r>
      <w:r>
        <w:rPr>
          <w:rFonts w:hint="eastAsia" w:ascii="黑体" w:hAnsi="黑体" w:eastAsia="黑体"/>
          <w:color w:val="auto"/>
          <w:sz w:val="32"/>
          <w:szCs w:val="24"/>
          <w:lang w:val="en-US"/>
        </w:rPr>
        <w:t>）</w:t>
      </w:r>
      <w:r>
        <w:rPr>
          <w:rFonts w:hint="eastAsia" w:ascii="黑体" w:hAnsi="黑体" w:eastAsia="黑体"/>
          <w:color w:val="auto"/>
          <w:sz w:val="32"/>
          <w:szCs w:val="24"/>
          <w:lang w:val="zh-CN"/>
        </w:rPr>
        <w:t>政府采购情况</w:t>
      </w:r>
    </w:p>
    <w:p w14:paraId="5DA61F22">
      <w:pPr>
        <w:shd w:val="clear" w:color="auto" w:fill="FFFFFF"/>
        <w:spacing w:beforeLines="0" w:afterLines="0"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2021年度政府采购支出总额17.69万元，其中：政府采购货物支出0.00万元、政府采购工程支出0.00万元、政府采购服务支出17.69万元。</w:t>
      </w:r>
    </w:p>
    <w:p w14:paraId="7A86143F">
      <w:pPr>
        <w:shd w:val="clear" w:color="auto" w:fill="FFFFFF"/>
        <w:spacing w:beforeLines="0" w:afterLines="0"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授予中小企业合同金额0.00万元，占政府采购支出总额的0.00%，其中：授予小微企业合同金额0.00万元，占政府采购支出总额的0.00%。</w:t>
      </w:r>
    </w:p>
    <w:p w14:paraId="4AF4E73C">
      <w:pPr>
        <w:spacing w:beforeLines="0" w:afterLines="0" w:line="360" w:lineRule="auto"/>
        <w:ind w:firstLine="640"/>
        <w:rPr>
          <w:rFonts w:hint="eastAsia"/>
          <w:color w:val="auto"/>
          <w:sz w:val="32"/>
          <w:szCs w:val="24"/>
          <w:lang w:val="zh-CN"/>
        </w:rPr>
      </w:pPr>
      <w:r>
        <w:rPr>
          <w:rFonts w:hint="eastAsia" w:ascii="黑体" w:hAnsi="黑体" w:eastAsia="黑体"/>
          <w:color w:val="auto"/>
          <w:sz w:val="32"/>
          <w:szCs w:val="24"/>
          <w:lang w:val="zh-CN"/>
        </w:rPr>
        <w:t>（三）国有资产占用情况说明</w:t>
      </w:r>
    </w:p>
    <w:p w14:paraId="4DE374F4">
      <w:pPr>
        <w:shd w:val="clear" w:color="auto" w:fill="FFFFFF"/>
        <w:spacing w:beforeLines="0" w:afterLines="0"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截止2021年12月31日，单位共有房屋0.00（平方米），价值0.00万元。车辆29辆，价值414.83万元，其中：副部（省）级及以上领导用车0辆、主要领导干部用车0辆、机要通信用车0辆、应急保障用车0辆、执法执勤用车0辆、特种专业技术用车0辆、离退休干部用车0辆、其他用车29辆，其他用车主要是：</w:t>
      </w:r>
      <w:r>
        <w:rPr>
          <w:rFonts w:hint="eastAsia" w:ascii="仿宋_GB2312" w:hAnsi="仿宋_GB2312" w:eastAsia="仿宋_GB2312"/>
          <w:color w:val="auto"/>
          <w:kern w:val="0"/>
          <w:sz w:val="32"/>
          <w:szCs w:val="24"/>
          <w:lang w:val="en-US" w:eastAsia="zh-CN"/>
        </w:rPr>
        <w:t>皮卡车、洒水车、登高车、修枝车（我单位车辆费用从公用经费其他交通费列支，不涉及“三公”经费）</w:t>
      </w:r>
      <w:r>
        <w:rPr>
          <w:rFonts w:hint="eastAsia" w:ascii="仿宋_GB2312" w:hAnsi="仿宋_GB2312" w:eastAsia="仿宋_GB2312"/>
          <w:color w:val="auto"/>
          <w:kern w:val="0"/>
          <w:sz w:val="32"/>
          <w:szCs w:val="24"/>
          <w:lang w:val="en-US"/>
        </w:rPr>
        <w:t>；单位价值50万元以上通用设备0台（套）、单位价值100万元以上专用设备0台（套）。</w:t>
      </w:r>
    </w:p>
    <w:p w14:paraId="5B4B9F47">
      <w:pPr>
        <w:spacing w:beforeLines="0" w:afterLines="0" w:line="360" w:lineRule="auto"/>
        <w:ind w:firstLine="640"/>
        <w:rPr>
          <w:rFonts w:hint="eastAsia"/>
          <w:color w:val="auto"/>
          <w:sz w:val="32"/>
          <w:szCs w:val="24"/>
          <w:lang w:val="zh-CN"/>
        </w:rPr>
      </w:pPr>
      <w:r>
        <w:rPr>
          <w:rFonts w:hint="eastAsia" w:ascii="黑体" w:hAnsi="黑体" w:eastAsia="黑体"/>
          <w:color w:val="auto"/>
          <w:sz w:val="32"/>
          <w:szCs w:val="24"/>
          <w:lang w:val="zh-CN"/>
        </w:rPr>
        <w:t>十一、预算绩效的情况说明</w:t>
      </w:r>
    </w:p>
    <w:p w14:paraId="6A867655">
      <w:pPr>
        <w:shd w:val="clear" w:color="auto" w:fill="FFFFFF"/>
        <w:spacing w:beforeLines="0" w:afterLines="0" w:line="360" w:lineRule="auto"/>
        <w:ind w:firstLine="640"/>
        <w:rPr>
          <w:rFonts w:hint="eastAsia" w:ascii="仿宋_GB2312" w:hAnsi="仿宋_GB2312" w:eastAsia="仿宋_GB2312"/>
          <w:color w:val="auto"/>
          <w:kern w:val="0"/>
          <w:sz w:val="32"/>
          <w:szCs w:val="24"/>
          <w:lang w:val="en-US"/>
        </w:rPr>
      </w:pPr>
      <w:r>
        <w:rPr>
          <w:rFonts w:hint="eastAsia" w:ascii="仿宋_GB2312" w:hAnsi="仿宋_GB2312" w:eastAsia="仿宋_GB2312"/>
          <w:color w:val="auto"/>
          <w:kern w:val="0"/>
          <w:sz w:val="32"/>
          <w:szCs w:val="24"/>
          <w:lang w:val="en-US"/>
        </w:rPr>
        <w:t>根据预算绩效管理要求，我单位2021年度开展预算绩效评价项目</w:t>
      </w:r>
      <w:r>
        <w:rPr>
          <w:rFonts w:hint="eastAsia" w:ascii="仿宋_GB2312" w:hAnsi="仿宋_GB2312" w:eastAsia="仿宋_GB2312"/>
          <w:color w:val="auto"/>
          <w:kern w:val="0"/>
          <w:sz w:val="32"/>
          <w:szCs w:val="24"/>
          <w:lang w:val="en-US" w:eastAsia="zh-CN"/>
        </w:rPr>
        <w:t>9</w:t>
      </w:r>
      <w:r>
        <w:rPr>
          <w:rFonts w:hint="eastAsia" w:ascii="仿宋_GB2312" w:hAnsi="仿宋_GB2312" w:eastAsia="仿宋_GB2312"/>
          <w:color w:val="auto"/>
          <w:kern w:val="0"/>
          <w:sz w:val="32"/>
          <w:szCs w:val="24"/>
          <w:lang w:val="en-US"/>
        </w:rPr>
        <w:t>个，共涉及资金</w:t>
      </w:r>
      <w:r>
        <w:rPr>
          <w:rFonts w:hint="eastAsia" w:ascii="仿宋_GB2312" w:hAnsi="仿宋_GB2312" w:eastAsia="仿宋_GB2312"/>
          <w:color w:val="auto"/>
          <w:kern w:val="0"/>
          <w:sz w:val="32"/>
          <w:szCs w:val="24"/>
          <w:lang w:val="en-US" w:eastAsia="zh-CN"/>
        </w:rPr>
        <w:t>5091.39</w:t>
      </w:r>
      <w:r>
        <w:rPr>
          <w:rFonts w:hint="eastAsia" w:ascii="仿宋_GB2312" w:hAnsi="仿宋_GB2312" w:eastAsia="仿宋_GB2312"/>
          <w:color w:val="auto"/>
          <w:kern w:val="0"/>
          <w:sz w:val="32"/>
          <w:szCs w:val="24"/>
          <w:lang w:val="en-US"/>
        </w:rPr>
        <w:t>万元。预算绩效管理取得的成效：</w:t>
      </w:r>
      <w:r>
        <w:rPr>
          <w:rFonts w:hint="eastAsia" w:ascii="仿宋_GB2312" w:hAnsi="宋体" w:eastAsia="仿宋_GB2312" w:cs="仿宋_GB2312"/>
          <w:color w:val="000000"/>
          <w:sz w:val="32"/>
          <w:szCs w:val="32"/>
        </w:rPr>
        <w:t>一是加强了对绩效监控工作重要性的宣传。充分利用政府门户站、财政相关会议和各类财政培训，加强了绩效监控工作的宣传力度，倡导预算绩效管理理念，有效的引导各部门人员了解支持预算绩效管理、监督绩效结果应用，共同营造出“讲绩效、重绩效、用绩效”的良好氛围；二是加强了人员培训，完善绩效评价监控的人员岗前培训及落实，提高了绩效监控工作人员对预算绩效管理的思想认识和业务能力，进一步的改进工作方式，提升了工作水平和工作效率</w:t>
      </w:r>
      <w:r>
        <w:rPr>
          <w:rFonts w:hint="eastAsia" w:ascii="仿宋_GB2312" w:hAnsi="仿宋_GB2312" w:eastAsia="仿宋_GB2312"/>
          <w:color w:val="auto"/>
          <w:kern w:val="0"/>
          <w:sz w:val="32"/>
          <w:szCs w:val="24"/>
          <w:lang w:val="en-US"/>
        </w:rPr>
        <w:t>。发现的问题及原因：</w:t>
      </w:r>
      <w:r>
        <w:rPr>
          <w:rFonts w:hint="eastAsia" w:ascii="仿宋_GB2312" w:hAnsi="宋体" w:eastAsia="仿宋_GB2312" w:cs="仿宋_GB2312"/>
          <w:color w:val="000000"/>
          <w:sz w:val="32"/>
          <w:szCs w:val="32"/>
        </w:rPr>
        <w:t>一是预算执行控制不严格，预算填报财务未复核。实际执行过程没有严格按照预算实施方案进度执行；二是资产管理工作有待加强。</w:t>
      </w:r>
      <w:r>
        <w:rPr>
          <w:rFonts w:hint="eastAsia" w:ascii="仿宋_GB2312" w:hAnsi="仿宋_GB2312" w:eastAsia="仿宋_GB2312"/>
          <w:color w:val="auto"/>
          <w:kern w:val="0"/>
          <w:sz w:val="32"/>
          <w:szCs w:val="24"/>
          <w:lang w:val="en-US"/>
        </w:rPr>
        <w:t>下一步改进措施：</w:t>
      </w:r>
      <w:r>
        <w:rPr>
          <w:rFonts w:hint="eastAsia" w:ascii="仿宋_GB2312" w:hAnsi="宋体" w:eastAsia="仿宋_GB2312" w:cs="仿宋_GB2312"/>
          <w:color w:val="000000"/>
          <w:sz w:val="32"/>
          <w:szCs w:val="32"/>
        </w:rPr>
        <w:t>一是规范资产管理制度，强化固定资产管理意识。加强使用单位工作人员的固定资产管理知识的教育培训，自觉遵守固定资产管理的相关政策法规,采取有效的措施加强固定资产管理，保证固定资产的合理配置，提高固定资产使用效率。以专人负责单位的固定资产管理工作，保证固定资产管理水平的不断提高</w:t>
      </w:r>
      <w:r>
        <w:rPr>
          <w:rFonts w:hint="eastAsia" w:ascii="仿宋_GB2312" w:hAnsi="仿宋_GB2312" w:eastAsia="仿宋_GB2312"/>
          <w:color w:val="auto"/>
          <w:kern w:val="0"/>
          <w:sz w:val="32"/>
          <w:szCs w:val="24"/>
          <w:lang w:val="en-US"/>
        </w:rPr>
        <w:t>；</w:t>
      </w:r>
      <w:r>
        <w:rPr>
          <w:rFonts w:hint="eastAsia" w:ascii="仿宋_GB2312" w:hAnsi="宋体" w:eastAsia="仿宋_GB2312" w:cs="仿宋_GB2312"/>
          <w:color w:val="000000"/>
          <w:sz w:val="32"/>
          <w:szCs w:val="32"/>
        </w:rPr>
        <w:t>二是积极开展预算绩效管理，督促各实施单位将在预算编制环节通过事前评价的方式，发现并剔除评价不高的项目，避免了财政资金的浪费。加强在财政资金支出过程中，及时根据资金使用进度考核阶段性目标的完成情况；项目结束后，根据事前设定的绩效目标科学评判支出的效果，并将评价结果合理运用于来年的预算编制中</w:t>
      </w:r>
      <w:r>
        <w:rPr>
          <w:rFonts w:hint="eastAsia" w:ascii="仿宋_GB2312" w:hAnsi="仿宋_GB2312" w:eastAsia="仿宋_GB2312"/>
          <w:color w:val="auto"/>
          <w:kern w:val="0"/>
          <w:sz w:val="32"/>
          <w:szCs w:val="24"/>
          <w:lang w:val="en-US"/>
        </w:rPr>
        <w:t>。具体项目自评情况附项目支出绩效自评表。</w:t>
      </w:r>
    </w:p>
    <w:p w14:paraId="2984620E">
      <w:pPr>
        <w:shd w:val="clear" w:color="auto" w:fill="FFFFFF"/>
        <w:spacing w:beforeLines="0" w:afterLines="0" w:line="360" w:lineRule="auto"/>
        <w:ind w:firstLine="640"/>
        <w:rPr>
          <w:rFonts w:hint="eastAsia" w:ascii="仿宋_GB2312" w:hAnsi="仿宋_GB2312" w:eastAsia="仿宋_GB2312"/>
          <w:color w:val="auto"/>
          <w:kern w:val="0"/>
          <w:sz w:val="32"/>
          <w:szCs w:val="24"/>
          <w:lang w:val="en-US"/>
        </w:rPr>
        <w:sectPr>
          <w:pgSz w:w="12240" w:h="15840"/>
          <w:pgMar w:top="1440" w:right="1800" w:bottom="1440" w:left="1800" w:header="720" w:footer="720" w:gutter="0"/>
          <w:lnNumType w:countBy="0" w:distance="360"/>
          <w:cols w:space="720" w:num="1"/>
        </w:sectPr>
      </w:pPr>
    </w:p>
    <w:p w14:paraId="196E27B1">
      <w:pPr>
        <w:shd w:val="clear" w:color="auto" w:fill="FFFFFF"/>
        <w:spacing w:beforeLines="0" w:afterLines="0" w:line="360" w:lineRule="auto"/>
        <w:rPr>
          <w:rFonts w:hint="eastAsia"/>
          <w:sz w:val="21"/>
          <w:szCs w:val="24"/>
        </w:rPr>
        <w:sectPr>
          <w:pgSz w:w="12240" w:h="15840"/>
          <w:pgMar w:top="1440" w:right="1800" w:bottom="1440" w:left="1800" w:header="720" w:footer="720" w:gutter="0"/>
          <w:lnNumType w:countBy="0" w:distance="360"/>
          <w:cols w:space="720" w:num="1"/>
        </w:sectPr>
      </w:pPr>
      <w:bookmarkStart w:id="0" w:name="_GoBack"/>
      <w:bookmarkEnd w:id="0"/>
      <w:r>
        <w:rPr>
          <w:rFonts w:hint="default"/>
          <w:sz w:val="21"/>
          <w:szCs w:val="24"/>
        </w:rPr>
        <w:drawing>
          <wp:inline distT="0" distB="0" distL="114300" distR="114300">
            <wp:extent cx="5825490" cy="5245100"/>
            <wp:effectExtent l="0" t="0" r="381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825490" cy="5245100"/>
                    </a:xfrm>
                    <a:prstGeom prst="rect">
                      <a:avLst/>
                    </a:prstGeom>
                    <a:noFill/>
                    <a:ln>
                      <a:noFill/>
                    </a:ln>
                  </pic:spPr>
                </pic:pic>
              </a:graphicData>
            </a:graphic>
          </wp:inline>
        </w:drawing>
      </w:r>
    </w:p>
    <w:p w14:paraId="24E5C71D">
      <w:pPr>
        <w:shd w:val="clear" w:color="auto" w:fill="FFFFFF"/>
        <w:spacing w:beforeLines="0" w:afterLines="0" w:line="360" w:lineRule="auto"/>
        <w:rPr>
          <w:rFonts w:hint="eastAsia"/>
          <w:sz w:val="21"/>
          <w:szCs w:val="24"/>
        </w:rPr>
        <w:sectPr>
          <w:pgSz w:w="12240" w:h="15840"/>
          <w:pgMar w:top="1440" w:right="1800" w:bottom="1440" w:left="1800" w:header="720" w:footer="720" w:gutter="0"/>
          <w:lnNumType w:countBy="0" w:distance="360"/>
          <w:cols w:space="720" w:num="1"/>
        </w:sectPr>
      </w:pPr>
      <w:r>
        <w:rPr>
          <w:rFonts w:hint="default"/>
          <w:sz w:val="21"/>
          <w:szCs w:val="24"/>
        </w:rPr>
        <w:drawing>
          <wp:inline distT="0" distB="0" distL="114300" distR="114300">
            <wp:extent cx="5454650" cy="5316220"/>
            <wp:effectExtent l="0" t="0" r="12700" b="177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454650" cy="5316220"/>
                    </a:xfrm>
                    <a:prstGeom prst="rect">
                      <a:avLst/>
                    </a:prstGeom>
                    <a:noFill/>
                    <a:ln>
                      <a:noFill/>
                    </a:ln>
                  </pic:spPr>
                </pic:pic>
              </a:graphicData>
            </a:graphic>
          </wp:inline>
        </w:drawing>
      </w:r>
    </w:p>
    <w:p w14:paraId="7E91DA6E">
      <w:pPr>
        <w:shd w:val="clear" w:color="auto" w:fill="FFFFFF"/>
        <w:spacing w:beforeLines="0" w:afterLines="0" w:line="360" w:lineRule="auto"/>
        <w:rPr>
          <w:rFonts w:hint="eastAsia"/>
          <w:sz w:val="21"/>
          <w:szCs w:val="24"/>
        </w:rPr>
        <w:sectPr>
          <w:pgSz w:w="12240" w:h="15840"/>
          <w:pgMar w:top="1440" w:right="1800" w:bottom="1440" w:left="1800" w:header="720" w:footer="720" w:gutter="0"/>
          <w:lnNumType w:countBy="0" w:distance="360"/>
          <w:cols w:space="720" w:num="1"/>
        </w:sectPr>
      </w:pPr>
      <w:r>
        <w:rPr>
          <w:rFonts w:hint="default"/>
          <w:sz w:val="21"/>
          <w:szCs w:val="24"/>
        </w:rPr>
        <w:drawing>
          <wp:inline distT="0" distB="0" distL="114300" distR="114300">
            <wp:extent cx="5449570" cy="5144770"/>
            <wp:effectExtent l="0" t="0" r="17780" b="1778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449570" cy="5144770"/>
                    </a:xfrm>
                    <a:prstGeom prst="rect">
                      <a:avLst/>
                    </a:prstGeom>
                    <a:noFill/>
                    <a:ln>
                      <a:noFill/>
                    </a:ln>
                  </pic:spPr>
                </pic:pic>
              </a:graphicData>
            </a:graphic>
          </wp:inline>
        </w:drawing>
      </w:r>
    </w:p>
    <w:p w14:paraId="39B41D20">
      <w:pPr>
        <w:shd w:val="clear" w:color="auto" w:fill="FFFFFF"/>
        <w:spacing w:beforeLines="0" w:afterLines="0" w:line="360" w:lineRule="auto"/>
        <w:rPr>
          <w:rFonts w:hint="eastAsia"/>
          <w:sz w:val="21"/>
          <w:szCs w:val="24"/>
        </w:rPr>
        <w:sectPr>
          <w:pgSz w:w="12240" w:h="15840"/>
          <w:pgMar w:top="1440" w:right="1800" w:bottom="1440" w:left="1800" w:header="720" w:footer="720" w:gutter="0"/>
          <w:lnNumType w:countBy="0" w:distance="360"/>
          <w:cols w:space="720" w:num="1"/>
        </w:sectPr>
      </w:pPr>
      <w:r>
        <w:rPr>
          <w:rFonts w:hint="default"/>
          <w:sz w:val="21"/>
          <w:szCs w:val="24"/>
        </w:rPr>
        <w:drawing>
          <wp:inline distT="0" distB="0" distL="114300" distR="114300">
            <wp:extent cx="5439410" cy="6159500"/>
            <wp:effectExtent l="0" t="0" r="8890" b="1270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8"/>
                    <a:stretch>
                      <a:fillRect/>
                    </a:stretch>
                  </pic:blipFill>
                  <pic:spPr>
                    <a:xfrm>
                      <a:off x="0" y="0"/>
                      <a:ext cx="5439410" cy="6159500"/>
                    </a:xfrm>
                    <a:prstGeom prst="rect">
                      <a:avLst/>
                    </a:prstGeom>
                    <a:noFill/>
                    <a:ln>
                      <a:noFill/>
                    </a:ln>
                  </pic:spPr>
                </pic:pic>
              </a:graphicData>
            </a:graphic>
          </wp:inline>
        </w:drawing>
      </w:r>
    </w:p>
    <w:p w14:paraId="7A3304DD">
      <w:pPr>
        <w:shd w:val="clear" w:color="auto" w:fill="FFFFFF"/>
        <w:spacing w:beforeLines="0" w:afterLines="0" w:line="360" w:lineRule="auto"/>
        <w:rPr>
          <w:rFonts w:hint="eastAsia"/>
          <w:sz w:val="21"/>
          <w:szCs w:val="24"/>
        </w:rPr>
        <w:sectPr>
          <w:pgSz w:w="12240" w:h="15840"/>
          <w:pgMar w:top="1440" w:right="1800" w:bottom="1440" w:left="1800" w:header="720" w:footer="720" w:gutter="0"/>
          <w:lnNumType w:countBy="0" w:distance="360"/>
          <w:cols w:space="720" w:num="1"/>
        </w:sectPr>
      </w:pPr>
      <w:r>
        <w:rPr>
          <w:rFonts w:hint="default"/>
          <w:sz w:val="21"/>
          <w:szCs w:val="24"/>
        </w:rPr>
        <w:drawing>
          <wp:inline distT="0" distB="0" distL="114300" distR="114300">
            <wp:extent cx="5474335" cy="7595870"/>
            <wp:effectExtent l="0" t="0" r="12065"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474335" cy="7595870"/>
                    </a:xfrm>
                    <a:prstGeom prst="rect">
                      <a:avLst/>
                    </a:prstGeom>
                    <a:noFill/>
                    <a:ln>
                      <a:noFill/>
                    </a:ln>
                  </pic:spPr>
                </pic:pic>
              </a:graphicData>
            </a:graphic>
          </wp:inline>
        </w:drawing>
      </w:r>
    </w:p>
    <w:p w14:paraId="5F8C1C50">
      <w:pPr>
        <w:shd w:val="clear" w:color="auto" w:fill="FFFFFF"/>
        <w:spacing w:beforeLines="0" w:afterLines="0" w:line="360" w:lineRule="auto"/>
        <w:rPr>
          <w:rFonts w:hint="eastAsia"/>
          <w:sz w:val="21"/>
          <w:szCs w:val="24"/>
        </w:rPr>
        <w:sectPr>
          <w:pgSz w:w="12240" w:h="15840"/>
          <w:pgMar w:top="1440" w:right="1800" w:bottom="1440" w:left="1800" w:header="720" w:footer="720" w:gutter="0"/>
          <w:lnNumType w:countBy="0" w:distance="360"/>
          <w:cols w:space="720" w:num="1"/>
        </w:sectPr>
      </w:pPr>
      <w:r>
        <w:rPr>
          <w:rFonts w:hint="default"/>
          <w:sz w:val="21"/>
          <w:szCs w:val="24"/>
        </w:rPr>
        <w:drawing>
          <wp:inline distT="0" distB="0" distL="114300" distR="114300">
            <wp:extent cx="5509895" cy="7109460"/>
            <wp:effectExtent l="0" t="0" r="14605" b="152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509895" cy="7109460"/>
                    </a:xfrm>
                    <a:prstGeom prst="rect">
                      <a:avLst/>
                    </a:prstGeom>
                    <a:noFill/>
                    <a:ln>
                      <a:noFill/>
                    </a:ln>
                  </pic:spPr>
                </pic:pic>
              </a:graphicData>
            </a:graphic>
          </wp:inline>
        </w:drawing>
      </w:r>
    </w:p>
    <w:p w14:paraId="105F91E6">
      <w:pPr>
        <w:shd w:val="clear" w:color="auto" w:fill="FFFFFF"/>
        <w:spacing w:beforeLines="0" w:afterLines="0" w:line="360" w:lineRule="auto"/>
        <w:rPr>
          <w:rFonts w:hint="eastAsia"/>
          <w:sz w:val="21"/>
          <w:szCs w:val="24"/>
        </w:rPr>
        <w:sectPr>
          <w:pgSz w:w="12240" w:h="15840"/>
          <w:pgMar w:top="1440" w:right="1800" w:bottom="1440" w:left="1800" w:header="720" w:footer="720" w:gutter="0"/>
          <w:lnNumType w:countBy="0" w:distance="360"/>
          <w:cols w:space="720" w:num="1"/>
        </w:sectPr>
      </w:pPr>
      <w:r>
        <w:rPr>
          <w:rFonts w:hint="default"/>
          <w:sz w:val="21"/>
          <w:szCs w:val="24"/>
        </w:rPr>
        <w:drawing>
          <wp:inline distT="0" distB="0" distL="114300" distR="114300">
            <wp:extent cx="5483860" cy="659130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5483860" cy="6591300"/>
                    </a:xfrm>
                    <a:prstGeom prst="rect">
                      <a:avLst/>
                    </a:prstGeom>
                    <a:noFill/>
                    <a:ln>
                      <a:noFill/>
                    </a:ln>
                  </pic:spPr>
                </pic:pic>
              </a:graphicData>
            </a:graphic>
          </wp:inline>
        </w:drawing>
      </w:r>
    </w:p>
    <w:p w14:paraId="19A1191E">
      <w:pPr>
        <w:shd w:val="clear" w:color="auto" w:fill="FFFFFF"/>
        <w:spacing w:beforeLines="0" w:afterLines="0" w:line="360" w:lineRule="auto"/>
        <w:rPr>
          <w:rFonts w:hint="eastAsia"/>
          <w:sz w:val="21"/>
          <w:szCs w:val="24"/>
        </w:rPr>
        <w:sectPr>
          <w:pgSz w:w="12240" w:h="15840"/>
          <w:pgMar w:top="1440" w:right="1800" w:bottom="1440" w:left="1800" w:header="720" w:footer="720" w:gutter="0"/>
          <w:lnNumType w:countBy="0" w:distance="360"/>
          <w:cols w:space="720" w:num="1"/>
        </w:sectPr>
      </w:pPr>
      <w:r>
        <w:rPr>
          <w:rFonts w:hint="default"/>
          <w:sz w:val="21"/>
          <w:szCs w:val="24"/>
        </w:rPr>
        <w:drawing>
          <wp:inline distT="0" distB="0" distL="114300" distR="114300">
            <wp:extent cx="5479415" cy="5709920"/>
            <wp:effectExtent l="0" t="0" r="6985"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5479415" cy="5709920"/>
                    </a:xfrm>
                    <a:prstGeom prst="rect">
                      <a:avLst/>
                    </a:prstGeom>
                    <a:noFill/>
                    <a:ln>
                      <a:noFill/>
                    </a:ln>
                  </pic:spPr>
                </pic:pic>
              </a:graphicData>
            </a:graphic>
          </wp:inline>
        </w:drawing>
      </w:r>
    </w:p>
    <w:p w14:paraId="2115631E">
      <w:pPr>
        <w:shd w:val="clear" w:color="auto" w:fill="FFFFFF"/>
        <w:spacing w:beforeLines="0" w:afterLines="0" w:line="360" w:lineRule="auto"/>
        <w:rPr>
          <w:rFonts w:hint="eastAsia"/>
          <w:sz w:val="21"/>
          <w:szCs w:val="24"/>
        </w:rPr>
        <w:sectPr>
          <w:pgSz w:w="12240" w:h="15840"/>
          <w:pgMar w:top="1440" w:right="1800" w:bottom="1440" w:left="1800" w:header="720" w:footer="720" w:gutter="0"/>
          <w:lnNumType w:countBy="0" w:distance="360"/>
          <w:cols w:space="720" w:num="1"/>
        </w:sectPr>
      </w:pPr>
      <w:r>
        <w:rPr>
          <w:rFonts w:hint="default"/>
          <w:sz w:val="21"/>
          <w:szCs w:val="24"/>
        </w:rPr>
        <w:drawing>
          <wp:inline distT="0" distB="0" distL="114300" distR="114300">
            <wp:extent cx="5509895" cy="5651500"/>
            <wp:effectExtent l="0" t="0" r="14605"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5509895" cy="5651500"/>
                    </a:xfrm>
                    <a:prstGeom prst="rect">
                      <a:avLst/>
                    </a:prstGeom>
                    <a:noFill/>
                    <a:ln>
                      <a:noFill/>
                    </a:ln>
                  </pic:spPr>
                </pic:pic>
              </a:graphicData>
            </a:graphic>
          </wp:inline>
        </w:drawing>
      </w:r>
    </w:p>
    <w:p w14:paraId="4C66CCC9">
      <w:pPr>
        <w:shd w:val="clear" w:color="auto" w:fill="FFFFFF"/>
        <w:spacing w:before="100" w:beforeLines="0" w:after="240" w:afterLines="0"/>
        <w:jc w:val="center"/>
        <w:rPr>
          <w:rFonts w:hint="eastAsia"/>
          <w:b/>
          <w:color w:val="auto"/>
          <w:kern w:val="0"/>
          <w:sz w:val="28"/>
          <w:szCs w:val="24"/>
          <w:lang w:val="en-US"/>
        </w:rPr>
      </w:pPr>
      <w:r>
        <w:rPr>
          <w:rFonts w:hint="eastAsia" w:ascii="黑体" w:hAnsi="黑体" w:eastAsia="黑体"/>
          <w:color w:val="auto"/>
          <w:kern w:val="0"/>
          <w:sz w:val="32"/>
          <w:szCs w:val="24"/>
          <w:lang w:val="en-US"/>
        </w:rPr>
        <w:t>第三部分 专业名词解释</w:t>
      </w:r>
    </w:p>
    <w:p w14:paraId="1A830D41">
      <w:pPr>
        <w:shd w:val="clear" w:color="auto" w:fill="FFFFFF"/>
        <w:spacing w:beforeLines="0" w:afterLines="0"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财政拨款收入：指同级财政当年拨付的资金。</w:t>
      </w:r>
    </w:p>
    <w:p w14:paraId="30D5E902">
      <w:pPr>
        <w:shd w:val="clear" w:color="auto" w:fill="FFFFFF"/>
        <w:spacing w:beforeLines="0" w:afterLines="0"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上级补助收入：指事业单位从主管部门和上级单位取得的非财政补助收入。</w:t>
      </w:r>
    </w:p>
    <w:p w14:paraId="1A0502F4">
      <w:pPr>
        <w:shd w:val="clear" w:color="auto" w:fill="FFFFFF"/>
        <w:spacing w:beforeLines="0" w:afterLines="0"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事业收入：指事业单位开展专业业务活动及其辅助活动所取得的收入。</w:t>
      </w:r>
    </w:p>
    <w:p w14:paraId="059FF9ED">
      <w:pPr>
        <w:shd w:val="clear" w:color="auto" w:fill="FFFFFF"/>
        <w:spacing w:beforeLines="0" w:afterLines="0"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经营收入：指事业单位在专业业务活动及其辅助活动之外开展非独立核算经营活动取得的收入。</w:t>
      </w:r>
    </w:p>
    <w:p w14:paraId="7ADEA013">
      <w:pPr>
        <w:shd w:val="clear" w:color="auto" w:fill="FFFFFF"/>
        <w:spacing w:beforeLines="0" w:afterLines="0"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附属单位上缴收入：指事业单位附属的独立核算单位按有关规定上缴的收入。</w:t>
      </w:r>
    </w:p>
    <w:p w14:paraId="3B2AB56D">
      <w:pPr>
        <w:shd w:val="clear" w:color="auto" w:fill="FFFFFF"/>
        <w:spacing w:beforeLines="0" w:afterLines="0"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其他收入：指除上述“财政拨款收入”、“事业收入”、“经营收入”、“附属单位上缴收入”等之外取得的收入。</w:t>
      </w:r>
    </w:p>
    <w:p w14:paraId="434632CB">
      <w:pPr>
        <w:shd w:val="clear" w:color="auto" w:fill="FFFFFF"/>
        <w:spacing w:beforeLines="0" w:afterLines="0"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年初结转和结余：指以前年度支出预算因客观条件变化未执行完毕、结转到本年度按有关规定继续使用的资金，既包括财政拨款结转和结余，也包括事业收入、经营收入、其他收入的结转和结余。</w:t>
      </w:r>
    </w:p>
    <w:p w14:paraId="5626D6EE">
      <w:pPr>
        <w:shd w:val="clear" w:color="auto" w:fill="FFFFFF"/>
        <w:spacing w:beforeLines="0" w:afterLines="0"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14:paraId="56581DF4">
      <w:pPr>
        <w:shd w:val="clear" w:color="auto" w:fill="FFFFFF"/>
        <w:spacing w:beforeLines="0" w:afterLines="0"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基本支出：指为保障机构正常运转、完成日常工作任务而发生的人员支出和公用支出。</w:t>
      </w:r>
    </w:p>
    <w:p w14:paraId="6746C2AB">
      <w:pPr>
        <w:shd w:val="clear" w:color="auto" w:fill="FFFFFF"/>
        <w:spacing w:beforeLines="0" w:afterLines="0"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项目支出：指在基本支出之外为完成特定行政任务和事业发展目标所发生的支出。</w:t>
      </w:r>
    </w:p>
    <w:p w14:paraId="2F8A1892">
      <w:pPr>
        <w:shd w:val="clear" w:color="auto" w:fill="FFFFFF"/>
        <w:spacing w:beforeLines="0" w:afterLines="0"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经营支出：指事业单位在专业业务活动及其辅助活动之外开展非独立核算经营活动发生的支出。</w:t>
      </w:r>
    </w:p>
    <w:p w14:paraId="4DA237C4">
      <w:pPr>
        <w:shd w:val="clear" w:color="auto" w:fill="FFFFFF"/>
        <w:spacing w:beforeLines="0" w:afterLines="0"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对附属单位补助支出：指事业单位发生的用非财政预算资金对附属单位的补助支出。</w:t>
      </w:r>
    </w:p>
    <w:p w14:paraId="43774748">
      <w:pPr>
        <w:shd w:val="clear" w:color="auto" w:fill="FFFFFF"/>
        <w:spacing w:beforeLines="0" w:afterLines="0"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三公”经费：指用一般公共预算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1B5CC6E5">
      <w:pPr>
        <w:shd w:val="clear" w:color="auto" w:fill="FFFFFF"/>
        <w:spacing w:beforeLines="0" w:afterLines="0" w:line="360" w:lineRule="auto"/>
        <w:ind w:firstLine="640"/>
        <w:rPr>
          <w:rFonts w:hint="eastAsia"/>
          <w:color w:val="auto"/>
          <w:kern w:val="0"/>
          <w:sz w:val="32"/>
          <w:szCs w:val="24"/>
          <w:lang w:val="en-US"/>
        </w:rPr>
      </w:pPr>
      <w:r>
        <w:rPr>
          <w:rFonts w:hint="eastAsia" w:ascii="仿宋_GB2312" w:hAnsi="仿宋_GB2312" w:eastAsia="仿宋_GB2312"/>
          <w:color w:val="auto"/>
          <w:kern w:val="0"/>
          <w:sz w:val="32"/>
          <w:szCs w:val="24"/>
          <w:lang w:val="en-US"/>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E0DD136">
      <w:pPr>
        <w:shd w:val="clear" w:color="auto" w:fill="FFFFFF"/>
        <w:spacing w:before="100" w:beforeLines="0" w:after="240" w:afterLines="0"/>
        <w:jc w:val="center"/>
        <w:rPr>
          <w:rFonts w:hint="eastAsia"/>
          <w:color w:val="auto"/>
          <w:kern w:val="0"/>
          <w:sz w:val="32"/>
          <w:szCs w:val="24"/>
          <w:lang w:val="en-US"/>
        </w:rPr>
      </w:pPr>
      <w:r>
        <w:rPr>
          <w:rFonts w:hint="eastAsia" w:ascii="黑体" w:hAnsi="黑体" w:eastAsia="黑体"/>
          <w:color w:val="auto"/>
          <w:kern w:val="0"/>
          <w:sz w:val="32"/>
          <w:szCs w:val="24"/>
          <w:lang w:val="en-US"/>
        </w:rPr>
        <w:t>第四部分 部门决算报表（见附表）</w:t>
      </w:r>
    </w:p>
    <w:p w14:paraId="610D0849">
      <w:pPr>
        <w:spacing w:beforeLines="0" w:afterLines="0" w:line="540" w:lineRule="exact"/>
        <w:ind w:firstLine="640"/>
        <w:rPr>
          <w:rFonts w:hint="eastAsia"/>
          <w:color w:val="auto"/>
          <w:sz w:val="32"/>
          <w:szCs w:val="24"/>
          <w:lang w:val="en-US"/>
        </w:rPr>
      </w:pPr>
      <w:r>
        <w:rPr>
          <w:rFonts w:hint="eastAsia" w:ascii="黑体" w:hAnsi="黑体" w:eastAsia="黑体"/>
          <w:color w:val="auto"/>
          <w:sz w:val="32"/>
          <w:szCs w:val="24"/>
          <w:lang w:val="en-US"/>
        </w:rPr>
        <w:t>一、《收入支出决算总表》</w:t>
      </w:r>
    </w:p>
    <w:p w14:paraId="7DB13DEA">
      <w:pPr>
        <w:spacing w:beforeLines="0" w:afterLines="0" w:line="540" w:lineRule="exact"/>
        <w:ind w:firstLine="640"/>
        <w:rPr>
          <w:rFonts w:hint="eastAsia"/>
          <w:color w:val="auto"/>
          <w:sz w:val="32"/>
          <w:szCs w:val="24"/>
          <w:lang w:val="en-US"/>
        </w:rPr>
      </w:pPr>
      <w:r>
        <w:rPr>
          <w:rFonts w:hint="eastAsia" w:ascii="黑体" w:hAnsi="黑体" w:eastAsia="黑体"/>
          <w:color w:val="auto"/>
          <w:sz w:val="32"/>
          <w:szCs w:val="24"/>
          <w:lang w:val="en-US"/>
        </w:rPr>
        <w:t>二、《收入决算表》</w:t>
      </w:r>
    </w:p>
    <w:p w14:paraId="5E3AF0DE">
      <w:pPr>
        <w:spacing w:beforeLines="0" w:afterLines="0" w:line="540" w:lineRule="exact"/>
        <w:ind w:firstLine="640"/>
        <w:rPr>
          <w:rFonts w:hint="eastAsia"/>
          <w:color w:val="auto"/>
          <w:sz w:val="32"/>
          <w:szCs w:val="24"/>
          <w:lang w:val="en-US"/>
        </w:rPr>
      </w:pPr>
      <w:r>
        <w:rPr>
          <w:rFonts w:hint="eastAsia" w:ascii="黑体" w:hAnsi="黑体" w:eastAsia="黑体"/>
          <w:color w:val="auto"/>
          <w:sz w:val="32"/>
          <w:szCs w:val="24"/>
          <w:lang w:val="en-US"/>
        </w:rPr>
        <w:t>三、《支出决算表》</w:t>
      </w:r>
    </w:p>
    <w:p w14:paraId="0991A96A">
      <w:pPr>
        <w:spacing w:beforeLines="0" w:afterLines="0" w:line="540" w:lineRule="exact"/>
        <w:ind w:firstLine="640"/>
        <w:rPr>
          <w:rFonts w:hint="eastAsia"/>
          <w:color w:val="auto"/>
          <w:sz w:val="32"/>
          <w:szCs w:val="24"/>
          <w:lang w:val="en-US"/>
        </w:rPr>
      </w:pPr>
      <w:r>
        <w:rPr>
          <w:rFonts w:hint="eastAsia" w:ascii="黑体" w:hAnsi="黑体" w:eastAsia="黑体"/>
          <w:color w:val="auto"/>
          <w:sz w:val="32"/>
          <w:szCs w:val="24"/>
          <w:lang w:val="en-US"/>
        </w:rPr>
        <w:t>四、《财政拨款收入支出决算总表》</w:t>
      </w:r>
    </w:p>
    <w:p w14:paraId="3A3A25FF">
      <w:pPr>
        <w:spacing w:beforeLines="0" w:afterLines="0" w:line="540" w:lineRule="exact"/>
        <w:ind w:firstLine="640"/>
        <w:rPr>
          <w:rFonts w:hint="eastAsia"/>
          <w:color w:val="auto"/>
          <w:sz w:val="32"/>
          <w:szCs w:val="24"/>
          <w:lang w:val="en-US"/>
        </w:rPr>
      </w:pPr>
      <w:r>
        <w:rPr>
          <w:rFonts w:hint="eastAsia" w:ascii="黑体" w:hAnsi="黑体" w:eastAsia="黑体"/>
          <w:color w:val="auto"/>
          <w:sz w:val="32"/>
          <w:szCs w:val="24"/>
          <w:lang w:val="en-US"/>
        </w:rPr>
        <w:t>五、《一般公共预算财政拨款支出决算表》</w:t>
      </w:r>
    </w:p>
    <w:p w14:paraId="656E5DDA">
      <w:pPr>
        <w:spacing w:beforeLines="0" w:afterLines="0" w:line="540" w:lineRule="exact"/>
        <w:ind w:firstLine="640"/>
        <w:rPr>
          <w:rFonts w:hint="eastAsia"/>
          <w:color w:val="auto"/>
          <w:sz w:val="32"/>
          <w:szCs w:val="24"/>
          <w:lang w:val="en-US"/>
        </w:rPr>
      </w:pPr>
      <w:r>
        <w:rPr>
          <w:rFonts w:hint="eastAsia" w:ascii="黑体" w:hAnsi="黑体" w:eastAsia="黑体"/>
          <w:color w:val="auto"/>
          <w:sz w:val="32"/>
          <w:szCs w:val="24"/>
          <w:lang w:val="en-US"/>
        </w:rPr>
        <w:t>六、《一般公共预算财政拨款基本支出决算表》</w:t>
      </w:r>
    </w:p>
    <w:p w14:paraId="4228DFB8">
      <w:pPr>
        <w:spacing w:beforeLines="0" w:afterLines="0" w:line="540" w:lineRule="exact"/>
        <w:ind w:firstLine="640"/>
        <w:rPr>
          <w:rFonts w:hint="eastAsia"/>
          <w:color w:val="auto"/>
          <w:sz w:val="32"/>
          <w:szCs w:val="24"/>
          <w:lang w:val="en-US"/>
        </w:rPr>
      </w:pPr>
      <w:r>
        <w:rPr>
          <w:rFonts w:hint="eastAsia" w:ascii="黑体" w:hAnsi="黑体" w:eastAsia="黑体"/>
          <w:color w:val="auto"/>
          <w:sz w:val="32"/>
          <w:szCs w:val="24"/>
          <w:lang w:val="en-US"/>
        </w:rPr>
        <w:t>七、《一般公共预算财政拨款“三公”经费支出决算表》</w:t>
      </w:r>
    </w:p>
    <w:p w14:paraId="6AE40486">
      <w:pPr>
        <w:spacing w:beforeLines="0" w:afterLines="0" w:line="540" w:lineRule="exact"/>
        <w:ind w:firstLine="640"/>
        <w:rPr>
          <w:rFonts w:hint="eastAsia"/>
          <w:color w:val="auto"/>
          <w:kern w:val="0"/>
          <w:sz w:val="32"/>
          <w:szCs w:val="24"/>
          <w:lang w:val="en-US"/>
        </w:rPr>
      </w:pPr>
      <w:r>
        <w:rPr>
          <w:rFonts w:hint="eastAsia" w:ascii="黑体" w:hAnsi="黑体" w:eastAsia="黑体"/>
          <w:color w:val="auto"/>
          <w:sz w:val="32"/>
          <w:szCs w:val="24"/>
          <w:lang w:val="en-US"/>
        </w:rPr>
        <w:t>八、《政府性基金预算财政拨款收入支出决算表》</w:t>
      </w:r>
    </w:p>
    <w:p w14:paraId="1F06535F">
      <w:pPr>
        <w:spacing w:beforeLines="0" w:afterLines="0" w:line="540" w:lineRule="exact"/>
        <w:ind w:firstLine="640"/>
        <w:rPr>
          <w:rFonts w:hint="eastAsia"/>
          <w:color w:val="auto"/>
          <w:kern w:val="0"/>
          <w:sz w:val="32"/>
          <w:szCs w:val="24"/>
          <w:lang w:val="en-US"/>
        </w:rPr>
      </w:pPr>
      <w:r>
        <w:rPr>
          <w:rFonts w:hint="eastAsia" w:ascii="黑体" w:hAnsi="黑体" w:eastAsia="黑体"/>
          <w:color w:val="auto"/>
          <w:sz w:val="32"/>
          <w:szCs w:val="24"/>
          <w:lang w:val="zh-CN"/>
        </w:rPr>
        <w:t>九</w:t>
      </w:r>
      <w:r>
        <w:rPr>
          <w:rFonts w:hint="eastAsia" w:ascii="黑体" w:hAnsi="黑体" w:eastAsia="黑体"/>
          <w:color w:val="auto"/>
          <w:sz w:val="32"/>
          <w:szCs w:val="24"/>
          <w:lang w:val="en-US"/>
        </w:rPr>
        <w:t>、《国有资本经营预算财政拨款收入支出决算表》</w:t>
      </w:r>
    </w:p>
    <w:p w14:paraId="2CBB5634">
      <w:pPr>
        <w:spacing w:beforeLines="0" w:afterLines="0"/>
        <w:jc w:val="left"/>
        <w:rPr>
          <w:rFonts w:hint="eastAsia"/>
          <w:color w:val="auto"/>
          <w:kern w:val="36"/>
          <w:sz w:val="40"/>
          <w:szCs w:val="24"/>
          <w:lang w:val="zh-CN"/>
        </w:rPr>
      </w:pPr>
    </w:p>
    <w:p w14:paraId="3421AF7A">
      <w:pPr>
        <w:spacing w:beforeLines="0" w:afterLines="0"/>
        <w:rPr>
          <w:rFonts w:hint="eastAsia"/>
          <w:color w:val="auto"/>
          <w:sz w:val="21"/>
          <w:szCs w:val="24"/>
          <w:lang w:val="en-US"/>
        </w:rPr>
      </w:pPr>
    </w:p>
    <w:p w14:paraId="4EB37277">
      <w:pPr>
        <w:spacing w:beforeLines="0" w:afterLines="0"/>
        <w:jc w:val="left"/>
        <w:rPr>
          <w:rFonts w:hint="eastAsia"/>
          <w:color w:val="auto"/>
          <w:kern w:val="36"/>
          <w:sz w:val="40"/>
          <w:szCs w:val="24"/>
          <w:lang w:val="zh-CN"/>
        </w:rPr>
      </w:pPr>
    </w:p>
    <w:p w14:paraId="359F4073">
      <w:pPr>
        <w:spacing w:beforeLines="0" w:afterLines="0"/>
        <w:rPr>
          <w:rFonts w:hint="eastAsia"/>
          <w:color w:val="auto"/>
          <w:sz w:val="21"/>
          <w:szCs w:val="24"/>
          <w:lang w:val="en-US"/>
        </w:rPr>
      </w:pPr>
    </w:p>
    <w:p w14:paraId="166D6E0D">
      <w:pPr>
        <w:spacing w:beforeLines="0" w:afterLines="0"/>
        <w:jc w:val="left"/>
        <w:rPr>
          <w:rFonts w:hint="eastAsia"/>
          <w:color w:val="auto"/>
          <w:kern w:val="36"/>
          <w:sz w:val="40"/>
          <w:szCs w:val="24"/>
          <w:lang w:val="zh-CN"/>
        </w:rPr>
      </w:pPr>
    </w:p>
    <w:p w14:paraId="481F4EA3"/>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564A9"/>
    <w:rsid w:val="62356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spacing w:beforeLines="0" w:afterLines="0"/>
      <w:jc w:val="both"/>
    </w:pPr>
    <w:rPr>
      <w:rFonts w:hint="eastAsia" w:ascii="Times New Roman" w:hAnsi="Times New Roman" w:eastAsia="Times New Roman" w:cs="Times New Roman"/>
      <w:kern w:val="2"/>
      <w:sz w:val="21"/>
      <w:szCs w:val="24"/>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2025-03-13T10:55:00Z</dcterms:created>
  <dc:creator>尘尘郁夏伊</dc:creator>
  <cp:lastModifiedBy>尘尘郁夏伊</cp:lastModifiedBy>
  <dcterms:modified xsi:type="dcterms:W3CDTF">2025-03-13T10:56:52Z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65419E761723439488F4DD48635A9188_11</vt:lpwstr>
  </property>
  <property fmtid="{D5CDD505-2E9C-101B-9397-08002B2CF9AE}" pid="4" name="KSOTemplateDocerSaveRecord">
    <vt:lpwstr>eyJoZGlkIjoiMjAzNDdlNDlhZGU5ZmQ3N2VlZjBjYzQxYzE2NWRiMzMiLCJ1c2VySWQiOiI1OTk2MDA3MzEifQ==</vt:lpwstr>
  </property>
</Properties>
</file>