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AE04">
      <w:pPr>
        <w:rPr>
          <w:rFonts w:ascii="黑体" w:hAnsi="黑体" w:eastAsia="黑体"/>
          <w:sz w:val="32"/>
          <w:szCs w:val="32"/>
        </w:rPr>
      </w:pPr>
    </w:p>
    <w:p w14:paraId="61F26253">
      <w:pPr>
        <w:jc w:val="center"/>
        <w:rPr>
          <w:rFonts w:ascii="方正小标宋_GBK" w:hAnsi="宋体" w:eastAsia="方正小标宋_GBK"/>
          <w:sz w:val="44"/>
          <w:szCs w:val="44"/>
        </w:rPr>
      </w:pPr>
    </w:p>
    <w:p w14:paraId="5B900665">
      <w:pPr>
        <w:jc w:val="center"/>
        <w:rPr>
          <w:rFonts w:ascii="方正小标宋_GBK" w:hAnsi="宋体" w:eastAsia="方正小标宋_GBK"/>
          <w:sz w:val="44"/>
          <w:szCs w:val="44"/>
        </w:rPr>
      </w:pPr>
    </w:p>
    <w:p w14:paraId="763D797D">
      <w:pPr>
        <w:jc w:val="center"/>
        <w:rPr>
          <w:rFonts w:ascii="方正小标宋_GBK" w:hAnsi="宋体" w:eastAsia="方正小标宋_GBK"/>
          <w:sz w:val="44"/>
          <w:szCs w:val="44"/>
        </w:rPr>
      </w:pPr>
    </w:p>
    <w:p w14:paraId="68960529">
      <w:pPr>
        <w:jc w:val="center"/>
        <w:rPr>
          <w:rFonts w:ascii="方正小标宋_GBK" w:hAnsi="宋体" w:eastAsia="方正小标宋_GBK"/>
          <w:sz w:val="44"/>
          <w:szCs w:val="44"/>
        </w:rPr>
      </w:pPr>
    </w:p>
    <w:p w14:paraId="53AAA1D8">
      <w:pPr>
        <w:jc w:val="center"/>
        <w:rPr>
          <w:rFonts w:ascii="方正小标宋_GBK" w:hAnsi="宋体" w:eastAsia="方正小标宋_GBK"/>
          <w:sz w:val="44"/>
          <w:szCs w:val="44"/>
        </w:rPr>
      </w:pPr>
      <w:r>
        <w:rPr>
          <w:rFonts w:hint="eastAsia" w:ascii="方正小标宋_GBK" w:hAnsi="宋体" w:eastAsia="方正小标宋_GBK"/>
          <w:sz w:val="44"/>
          <w:szCs w:val="44"/>
        </w:rPr>
        <w:t>乌鲁木齐市第128小学年度部门决算</w:t>
      </w:r>
    </w:p>
    <w:p w14:paraId="4424DC18">
      <w:pPr>
        <w:jc w:val="center"/>
        <w:rPr>
          <w:rFonts w:ascii="方正小标宋_GBK" w:hAnsi="宋体" w:eastAsia="方正小标宋_GBK"/>
          <w:sz w:val="44"/>
          <w:szCs w:val="44"/>
        </w:rPr>
      </w:pPr>
      <w:r>
        <w:rPr>
          <w:rFonts w:hint="eastAsia" w:ascii="方正小标宋_GBK" w:hAnsi="宋体" w:eastAsia="方正小标宋_GBK"/>
          <w:sz w:val="44"/>
          <w:szCs w:val="44"/>
        </w:rPr>
        <w:t>公开说明</w:t>
      </w:r>
    </w:p>
    <w:p w14:paraId="62AC4EAC">
      <w:pPr>
        <w:jc w:val="center"/>
        <w:rPr>
          <w:rFonts w:ascii="仿宋_GB2312" w:hAnsi="仿宋_GB2312" w:eastAsia="仿宋_GB2312" w:cs="仿宋_GB2312"/>
          <w:bCs/>
          <w:kern w:val="0"/>
          <w:sz w:val="32"/>
          <w:szCs w:val="32"/>
        </w:rPr>
      </w:pPr>
      <w:r>
        <w:rPr>
          <w:rFonts w:hint="eastAsia" w:ascii="方正小标宋_GBK" w:hAnsi="宋体" w:eastAsia="方正小标宋_GBK"/>
          <w:sz w:val="44"/>
          <w:szCs w:val="44"/>
        </w:rPr>
        <w:br w:type="page"/>
      </w:r>
      <w:r>
        <w:rPr>
          <w:rFonts w:hint="eastAsia" w:ascii="仿宋_GB2312" w:hAnsi="仿宋_GB2312" w:eastAsia="仿宋_GB2312" w:cs="仿宋_GB2312"/>
          <w:b/>
          <w:kern w:val="0"/>
          <w:sz w:val="36"/>
          <w:szCs w:val="36"/>
        </w:rPr>
        <w:t>目  录</w:t>
      </w:r>
    </w:p>
    <w:p w14:paraId="30B9E473">
      <w:pPr>
        <w:pStyle w:val="7"/>
        <w:tabs>
          <w:tab w:val="right" w:pos="8306"/>
        </w:tabs>
        <w:rPr>
          <w:rFonts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\n  \h \u </w:instrText>
      </w:r>
      <w:r>
        <w:rPr>
          <w:rFonts w:hint="eastAsia" w:ascii="仿宋_GB2312" w:hAnsi="仿宋_GB2312" w:eastAsia="仿宋_GB2312" w:cs="仿宋_GB2312"/>
          <w:sz w:val="32"/>
          <w:szCs w:val="32"/>
        </w:rPr>
        <w:fldChar w:fldCharType="separate"/>
      </w:r>
      <w:r>
        <w:fldChar w:fldCharType="begin"/>
      </w:r>
      <w:r>
        <w:instrText xml:space="preserve"> HYPERLINK \l "_Toc32314" </w:instrText>
      </w:r>
      <w:r>
        <w:fldChar w:fldCharType="separate"/>
      </w:r>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b/>
          <w:bCs/>
          <w:sz w:val="32"/>
          <w:szCs w:val="32"/>
        </w:rPr>
        <w:fldChar w:fldCharType="end"/>
      </w:r>
    </w:p>
    <w:p w14:paraId="58029729">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"_Toc30567" </w:instrText>
      </w:r>
      <w:r>
        <w:fldChar w:fldCharType="separate"/>
      </w:r>
      <w:r>
        <w:rPr>
          <w:rFonts w:hint="eastAsia" w:ascii="仿宋_GB2312" w:hAnsi="仿宋_GB2312" w:eastAsia="仿宋_GB2312" w:cs="仿宋_GB2312"/>
          <w:bCs/>
          <w:kern w:val="0"/>
          <w:sz w:val="32"/>
          <w:szCs w:val="32"/>
        </w:rPr>
        <w:t>一、主要职能</w:t>
      </w:r>
      <w:r>
        <w:rPr>
          <w:rFonts w:hint="eastAsia" w:ascii="仿宋_GB2312" w:hAnsi="仿宋_GB2312" w:eastAsia="仿宋_GB2312" w:cs="仿宋_GB2312"/>
          <w:bCs/>
          <w:kern w:val="0"/>
          <w:sz w:val="32"/>
          <w:szCs w:val="32"/>
        </w:rPr>
        <w:fldChar w:fldCharType="end"/>
      </w:r>
    </w:p>
    <w:p w14:paraId="1239B1F4">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"_Toc2151" </w:instrText>
      </w:r>
      <w:r>
        <w:fldChar w:fldCharType="separate"/>
      </w:r>
      <w:r>
        <w:rPr>
          <w:rFonts w:hint="eastAsia" w:ascii="仿宋_GB2312" w:hAnsi="仿宋_GB2312" w:eastAsia="仿宋_GB2312" w:cs="仿宋_GB2312"/>
          <w:bCs/>
          <w:kern w:val="0"/>
          <w:sz w:val="32"/>
          <w:szCs w:val="32"/>
        </w:rPr>
        <w:t>二、机构设置及人员情况</w:t>
      </w:r>
      <w:r>
        <w:rPr>
          <w:rFonts w:hint="eastAsia" w:ascii="仿宋_GB2312" w:hAnsi="仿宋_GB2312" w:eastAsia="仿宋_GB2312" w:cs="仿宋_GB2312"/>
          <w:bCs/>
          <w:kern w:val="0"/>
          <w:sz w:val="32"/>
          <w:szCs w:val="32"/>
        </w:rPr>
        <w:fldChar w:fldCharType="end"/>
      </w:r>
    </w:p>
    <w:p w14:paraId="499D1660">
      <w:pPr>
        <w:pStyle w:val="7"/>
        <w:tabs>
          <w:tab w:val="right" w:pos="8306"/>
        </w:tabs>
        <w:rPr>
          <w:rFonts w:ascii="仿宋_GB2312" w:hAnsi="仿宋_GB2312" w:eastAsia="仿宋_GB2312" w:cs="仿宋_GB2312"/>
          <w:b/>
          <w:bCs/>
          <w:sz w:val="32"/>
          <w:szCs w:val="32"/>
        </w:rPr>
      </w:pPr>
      <w:r>
        <w:fldChar w:fldCharType="begin"/>
      </w:r>
      <w:r>
        <w:instrText xml:space="preserve"> HYPERLINK \l "_Toc29374" </w:instrText>
      </w:r>
      <w:r>
        <w:fldChar w:fldCharType="separate"/>
      </w:r>
      <w:r>
        <w:rPr>
          <w:rFonts w:hint="eastAsia" w:ascii="仿宋_GB2312" w:hAnsi="仿宋_GB2312" w:eastAsia="仿宋_GB2312" w:cs="仿宋_GB2312"/>
          <w:b/>
          <w:bCs/>
          <w:sz w:val="32"/>
          <w:szCs w:val="32"/>
        </w:rPr>
        <w:t>第二部分 部门决算情况说明</w:t>
      </w:r>
      <w:r>
        <w:rPr>
          <w:rFonts w:hint="eastAsia" w:ascii="仿宋_GB2312" w:hAnsi="仿宋_GB2312" w:eastAsia="仿宋_GB2312" w:cs="仿宋_GB2312"/>
          <w:b/>
          <w:bCs/>
          <w:sz w:val="32"/>
          <w:szCs w:val="32"/>
        </w:rPr>
        <w:fldChar w:fldCharType="end"/>
      </w:r>
    </w:p>
    <w:p w14:paraId="7DD85F96">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"_Toc25314" </w:instrText>
      </w:r>
      <w:r>
        <w:fldChar w:fldCharType="separate"/>
      </w:r>
      <w:r>
        <w:rPr>
          <w:rFonts w:hint="eastAsia" w:ascii="仿宋_GB2312" w:hAnsi="仿宋_GB2312" w:eastAsia="仿宋_GB2312" w:cs="仿宋_GB2312"/>
          <w:bCs/>
          <w:kern w:val="0"/>
          <w:sz w:val="32"/>
          <w:szCs w:val="32"/>
        </w:rPr>
        <w:t>一、收入支出决算总体情况说明</w:t>
      </w:r>
      <w:r>
        <w:rPr>
          <w:rFonts w:hint="eastAsia" w:ascii="仿宋_GB2312" w:hAnsi="仿宋_GB2312" w:eastAsia="仿宋_GB2312" w:cs="仿宋_GB2312"/>
          <w:bCs/>
          <w:kern w:val="0"/>
          <w:sz w:val="32"/>
          <w:szCs w:val="32"/>
        </w:rPr>
        <w:fldChar w:fldCharType="end"/>
      </w:r>
    </w:p>
    <w:p w14:paraId="19F3CA43">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"_Toc12142" </w:instrText>
      </w:r>
      <w:r>
        <w:fldChar w:fldCharType="separate"/>
      </w:r>
      <w:r>
        <w:rPr>
          <w:rFonts w:hint="eastAsia" w:ascii="仿宋_GB2312" w:hAnsi="仿宋_GB2312" w:eastAsia="仿宋_GB2312" w:cs="仿宋_GB2312"/>
          <w:bCs/>
          <w:kern w:val="0"/>
          <w:sz w:val="32"/>
          <w:szCs w:val="32"/>
        </w:rPr>
        <w:t>二、收入决算情况说明</w:t>
      </w:r>
      <w:r>
        <w:rPr>
          <w:rFonts w:hint="eastAsia" w:ascii="仿宋_GB2312" w:hAnsi="仿宋_GB2312" w:eastAsia="仿宋_GB2312" w:cs="仿宋_GB2312"/>
          <w:bCs/>
          <w:kern w:val="0"/>
          <w:sz w:val="32"/>
          <w:szCs w:val="32"/>
        </w:rPr>
        <w:fldChar w:fldCharType="end"/>
      </w:r>
    </w:p>
    <w:p w14:paraId="5CC76A0C">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"_Toc13201" </w:instrText>
      </w:r>
      <w:r>
        <w:fldChar w:fldCharType="separate"/>
      </w:r>
      <w:r>
        <w:rPr>
          <w:rFonts w:hint="eastAsia" w:ascii="仿宋_GB2312" w:hAnsi="仿宋_GB2312" w:eastAsia="仿宋_GB2312" w:cs="仿宋_GB2312"/>
          <w:bCs/>
          <w:kern w:val="0"/>
          <w:sz w:val="32"/>
          <w:szCs w:val="32"/>
        </w:rPr>
        <w:t>三、支出决算情况说明</w:t>
      </w:r>
      <w:r>
        <w:rPr>
          <w:rFonts w:hint="eastAsia" w:ascii="仿宋_GB2312" w:hAnsi="仿宋_GB2312" w:eastAsia="仿宋_GB2312" w:cs="仿宋_GB2312"/>
          <w:bCs/>
          <w:kern w:val="0"/>
          <w:sz w:val="32"/>
          <w:szCs w:val="32"/>
        </w:rPr>
        <w:fldChar w:fldCharType="end"/>
      </w:r>
    </w:p>
    <w:p w14:paraId="7CB8506C">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"_Toc26564" </w:instrText>
      </w:r>
      <w:r>
        <w:fldChar w:fldCharType="separate"/>
      </w:r>
      <w:r>
        <w:rPr>
          <w:rFonts w:hint="eastAsia" w:ascii="仿宋_GB2312" w:hAnsi="仿宋_GB2312" w:eastAsia="仿宋_GB2312" w:cs="仿宋_GB2312"/>
          <w:bCs/>
          <w:kern w:val="0"/>
          <w:sz w:val="32"/>
          <w:szCs w:val="32"/>
        </w:rPr>
        <w:t>四、财政拨款收入支出决算总体情况说明</w:t>
      </w:r>
      <w:r>
        <w:rPr>
          <w:rFonts w:hint="eastAsia" w:ascii="仿宋_GB2312" w:hAnsi="仿宋_GB2312" w:eastAsia="仿宋_GB2312" w:cs="仿宋_GB2312"/>
          <w:bCs/>
          <w:kern w:val="0"/>
          <w:sz w:val="32"/>
          <w:szCs w:val="32"/>
        </w:rPr>
        <w:fldChar w:fldCharType="end"/>
      </w:r>
    </w:p>
    <w:p w14:paraId="4536235E">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"_Toc20360" </w:instrText>
      </w:r>
      <w:r>
        <w:fldChar w:fldCharType="separate"/>
      </w:r>
      <w:r>
        <w:rPr>
          <w:rFonts w:hint="eastAsia" w:ascii="仿宋_GB2312" w:hAnsi="仿宋_GB2312" w:eastAsia="仿宋_GB2312" w:cs="仿宋_GB2312"/>
          <w:bCs/>
          <w:kern w:val="0"/>
          <w:sz w:val="32"/>
          <w:szCs w:val="32"/>
        </w:rPr>
        <w:t>五、一般公共预算财政拨款支出决算情况说明</w:t>
      </w:r>
      <w:r>
        <w:rPr>
          <w:rFonts w:hint="eastAsia" w:ascii="仿宋_GB2312" w:hAnsi="仿宋_GB2312" w:eastAsia="仿宋_GB2312" w:cs="仿宋_GB2312"/>
          <w:bCs/>
          <w:kern w:val="0"/>
          <w:sz w:val="32"/>
          <w:szCs w:val="32"/>
        </w:rPr>
        <w:fldChar w:fldCharType="end"/>
      </w:r>
    </w:p>
    <w:p w14:paraId="4ED8053D">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"_Toc30870" </w:instrText>
      </w:r>
      <w:r>
        <w:fldChar w:fldCharType="separate"/>
      </w:r>
      <w:r>
        <w:rPr>
          <w:rFonts w:hint="eastAsia" w:ascii="仿宋_GB2312" w:hAnsi="仿宋_GB2312" w:eastAsia="仿宋_GB2312" w:cs="仿宋_GB2312"/>
          <w:bCs/>
          <w:kern w:val="0"/>
          <w:sz w:val="32"/>
          <w:szCs w:val="32"/>
        </w:rPr>
        <w:t>六、一般公共预算财政拨款基本支出决算情况说明</w:t>
      </w:r>
      <w:r>
        <w:rPr>
          <w:rFonts w:hint="eastAsia" w:ascii="仿宋_GB2312" w:hAnsi="仿宋_GB2312" w:eastAsia="仿宋_GB2312" w:cs="仿宋_GB2312"/>
          <w:bCs/>
          <w:kern w:val="0"/>
          <w:sz w:val="32"/>
          <w:szCs w:val="32"/>
        </w:rPr>
        <w:fldChar w:fldCharType="end"/>
      </w:r>
    </w:p>
    <w:p w14:paraId="4B8E58E1">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"_Toc21518" </w:instrText>
      </w:r>
      <w:r>
        <w:fldChar w:fldCharType="separate"/>
      </w:r>
      <w:r>
        <w:rPr>
          <w:rFonts w:hint="eastAsia" w:ascii="仿宋_GB2312" w:hAnsi="仿宋_GB2312" w:eastAsia="仿宋_GB2312" w:cs="仿宋_GB2312"/>
          <w:bCs/>
          <w:kern w:val="0"/>
          <w:sz w:val="32"/>
          <w:szCs w:val="32"/>
        </w:rPr>
        <w:t>七、财政拨款“三公”经费支出决算情况说明</w:t>
      </w:r>
      <w:r>
        <w:rPr>
          <w:rFonts w:hint="eastAsia" w:ascii="仿宋_GB2312" w:hAnsi="仿宋_GB2312" w:eastAsia="仿宋_GB2312" w:cs="仿宋_GB2312"/>
          <w:bCs/>
          <w:kern w:val="0"/>
          <w:sz w:val="32"/>
          <w:szCs w:val="32"/>
        </w:rPr>
        <w:fldChar w:fldCharType="end"/>
      </w:r>
    </w:p>
    <w:p w14:paraId="5A3A48A7">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"_Toc5810" </w:instrText>
      </w:r>
      <w:r>
        <w:fldChar w:fldCharType="separate"/>
      </w:r>
      <w:r>
        <w:rPr>
          <w:rFonts w:hint="eastAsia" w:ascii="仿宋_GB2312" w:hAnsi="仿宋_GB2312" w:eastAsia="仿宋_GB2312" w:cs="仿宋_GB2312"/>
          <w:bCs/>
          <w:kern w:val="0"/>
          <w:sz w:val="32"/>
          <w:szCs w:val="32"/>
        </w:rPr>
        <w:t>八、政府性基金预算财政拨款收入支出决算情况说明</w:t>
      </w:r>
      <w:r>
        <w:rPr>
          <w:rFonts w:hint="eastAsia" w:ascii="仿宋_GB2312" w:hAnsi="仿宋_GB2312" w:eastAsia="仿宋_GB2312" w:cs="仿宋_GB2312"/>
          <w:bCs/>
          <w:kern w:val="0"/>
          <w:sz w:val="32"/>
          <w:szCs w:val="32"/>
        </w:rPr>
        <w:fldChar w:fldCharType="end"/>
      </w:r>
    </w:p>
    <w:p w14:paraId="45F148EF">
      <w:r>
        <w:fldChar w:fldCharType="begin"/>
      </w:r>
      <w:r>
        <w:instrText xml:space="preserve"> HYPERLINK \l "_Toc5810" </w:instrText>
      </w:r>
      <w:r>
        <w:fldChar w:fldCharType="separate"/>
      </w:r>
      <w:r>
        <w:rPr>
          <w:rFonts w:hint="eastAsia" w:ascii="仿宋_GB2312" w:hAnsi="仿宋_GB2312" w:eastAsia="仿宋_GB2312" w:cs="仿宋_GB2312"/>
          <w:bCs/>
          <w:kern w:val="0"/>
          <w:sz w:val="32"/>
          <w:szCs w:val="32"/>
        </w:rPr>
        <w:t>九、国有资本经营预算财政拨款收入支出决算情况说明</w:t>
      </w:r>
      <w:r>
        <w:rPr>
          <w:rFonts w:hint="eastAsia" w:ascii="仿宋_GB2312" w:hAnsi="仿宋_GB2312" w:eastAsia="仿宋_GB2312" w:cs="仿宋_GB2312"/>
          <w:bCs/>
          <w:kern w:val="0"/>
          <w:sz w:val="32"/>
          <w:szCs w:val="32"/>
        </w:rPr>
        <w:fldChar w:fldCharType="end"/>
      </w:r>
    </w:p>
    <w:p w14:paraId="5E9EE709">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"_Toc1235" </w:instrText>
      </w:r>
      <w: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bCs/>
          <w:kern w:val="0"/>
          <w:sz w:val="32"/>
          <w:szCs w:val="32"/>
        </w:rPr>
        <w:t>、其他重要事项的情况说明</w:t>
      </w:r>
      <w:r>
        <w:rPr>
          <w:rFonts w:hint="eastAsia" w:ascii="仿宋_GB2312" w:hAnsi="仿宋_GB2312" w:eastAsia="仿宋_GB2312" w:cs="仿宋_GB2312"/>
          <w:bCs/>
          <w:kern w:val="0"/>
          <w:sz w:val="32"/>
          <w:szCs w:val="32"/>
        </w:rPr>
        <w:fldChar w:fldCharType="end"/>
      </w:r>
    </w:p>
    <w:p w14:paraId="6D9BA299">
      <w:pPr>
        <w:pStyle w:val="4"/>
        <w:tabs>
          <w:tab w:val="right" w:pos="8306"/>
        </w:tabs>
        <w:ind w:left="0" w:leftChars="0"/>
        <w:rPr>
          <w:rFonts w:ascii="仿宋_GB2312" w:hAnsi="仿宋_GB2312" w:eastAsia="仿宋_GB2312" w:cs="仿宋_GB2312"/>
          <w:sz w:val="32"/>
          <w:szCs w:val="32"/>
        </w:rPr>
      </w:pPr>
      <w:r>
        <w:fldChar w:fldCharType="begin"/>
      </w:r>
      <w:r>
        <w:instrText xml:space="preserve"> HYPERLINK \l "_Toc14519" </w:instrText>
      </w:r>
      <w:r>
        <w:fldChar w:fldCharType="separate"/>
      </w:r>
      <w:r>
        <w:rPr>
          <w:rFonts w:hint="eastAsia" w:ascii="仿宋_GB2312" w:hAnsi="仿宋_GB2312" w:eastAsia="仿宋_GB2312" w:cs="仿宋_GB2312"/>
          <w:sz w:val="32"/>
          <w:szCs w:val="32"/>
        </w:rPr>
        <w:t>（一）机关运行经费支出情况</w:t>
      </w:r>
      <w:r>
        <w:rPr>
          <w:rFonts w:hint="eastAsia" w:ascii="仿宋_GB2312" w:hAnsi="仿宋_GB2312" w:eastAsia="仿宋_GB2312" w:cs="仿宋_GB2312"/>
          <w:sz w:val="32"/>
          <w:szCs w:val="32"/>
        </w:rPr>
        <w:fldChar w:fldCharType="end"/>
      </w:r>
    </w:p>
    <w:p w14:paraId="12B847E3">
      <w:pPr>
        <w:pStyle w:val="4"/>
        <w:tabs>
          <w:tab w:val="right" w:pos="8306"/>
        </w:tabs>
        <w:ind w:left="0" w:leftChars="0"/>
        <w:rPr>
          <w:rFonts w:ascii="仿宋_GB2312" w:hAnsi="仿宋_GB2312" w:eastAsia="仿宋_GB2312" w:cs="仿宋_GB2312"/>
          <w:sz w:val="32"/>
          <w:szCs w:val="32"/>
        </w:rPr>
      </w:pPr>
      <w:r>
        <w:fldChar w:fldCharType="begin"/>
      </w:r>
      <w:r>
        <w:instrText xml:space="preserve"> HYPERLINK \l "_Toc227"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fldChar w:fldCharType="end"/>
      </w:r>
    </w:p>
    <w:p w14:paraId="72AB9577">
      <w:pPr>
        <w:pStyle w:val="4"/>
        <w:tabs>
          <w:tab w:val="right" w:pos="8306"/>
        </w:tabs>
        <w:ind w:left="0" w:leftChars="0"/>
        <w:rPr>
          <w:rFonts w:ascii="仿宋_GB2312" w:hAnsi="仿宋_GB2312" w:eastAsia="仿宋_GB2312" w:cs="仿宋_GB2312"/>
          <w:sz w:val="32"/>
          <w:szCs w:val="32"/>
        </w:rPr>
      </w:pPr>
      <w:r>
        <w:fldChar w:fldCharType="begin"/>
      </w:r>
      <w:r>
        <w:instrText xml:space="preserve"> HYPERLINK \l "_Toc8391" </w:instrText>
      </w:r>
      <w:r>
        <w:fldChar w:fldCharType="separate"/>
      </w:r>
      <w:r>
        <w:rPr>
          <w:rFonts w:hint="eastAsia" w:ascii="仿宋_GB2312" w:hAnsi="仿宋_GB2312" w:eastAsia="仿宋_GB2312" w:cs="仿宋_GB2312"/>
          <w:sz w:val="32"/>
          <w:szCs w:val="32"/>
        </w:rPr>
        <w:t>（三）国有资产占用情况说明</w:t>
      </w:r>
      <w:r>
        <w:rPr>
          <w:rFonts w:hint="eastAsia" w:ascii="仿宋_GB2312" w:hAnsi="仿宋_GB2312" w:eastAsia="仿宋_GB2312" w:cs="仿宋_GB2312"/>
          <w:sz w:val="32"/>
          <w:szCs w:val="32"/>
        </w:rPr>
        <w:fldChar w:fldCharType="end"/>
      </w:r>
    </w:p>
    <w:p w14:paraId="58ABF4C4">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"_Toc11283" </w:instrText>
      </w:r>
      <w:r>
        <w:fldChar w:fldCharType="separate"/>
      </w:r>
      <w:r>
        <w:rPr>
          <w:rFonts w:hint="eastAsia" w:ascii="仿宋_GB2312" w:hAnsi="仿宋_GB2312" w:eastAsia="仿宋_GB2312" w:cs="仿宋_GB2312"/>
          <w:bCs/>
          <w:kern w:val="0"/>
          <w:sz w:val="32"/>
          <w:szCs w:val="32"/>
        </w:rPr>
        <w:t>十一、预算绩效的情况说明</w:t>
      </w:r>
      <w:r>
        <w:rPr>
          <w:rFonts w:hint="eastAsia" w:ascii="仿宋_GB2312" w:hAnsi="仿宋_GB2312" w:eastAsia="仿宋_GB2312" w:cs="仿宋_GB2312"/>
          <w:bCs/>
          <w:kern w:val="0"/>
          <w:sz w:val="32"/>
          <w:szCs w:val="32"/>
        </w:rPr>
        <w:fldChar w:fldCharType="end"/>
      </w:r>
    </w:p>
    <w:p w14:paraId="22619246">
      <w:pPr>
        <w:pStyle w:val="7"/>
        <w:tabs>
          <w:tab w:val="right" w:pos="8306"/>
        </w:tabs>
        <w:rPr>
          <w:rFonts w:ascii="仿宋_GB2312" w:hAnsi="仿宋_GB2312" w:eastAsia="仿宋_GB2312" w:cs="仿宋_GB2312"/>
          <w:b/>
          <w:bCs/>
          <w:sz w:val="32"/>
          <w:szCs w:val="32"/>
        </w:rPr>
      </w:pPr>
      <w:r>
        <w:fldChar w:fldCharType="begin"/>
      </w:r>
      <w:r>
        <w:instrText xml:space="preserve"> HYPERLINK \l "_Toc3250" </w:instrText>
      </w:r>
      <w:r>
        <w:fldChar w:fldCharType="separate"/>
      </w:r>
      <w:r>
        <w:rPr>
          <w:rFonts w:hint="eastAsia" w:ascii="仿宋_GB2312" w:hAnsi="仿宋_GB2312" w:eastAsia="仿宋_GB2312" w:cs="仿宋_GB2312"/>
          <w:b/>
          <w:bCs/>
          <w:sz w:val="32"/>
          <w:szCs w:val="32"/>
        </w:rPr>
        <w:t>第三部分 专业名词解释</w:t>
      </w:r>
      <w:r>
        <w:rPr>
          <w:rFonts w:hint="eastAsia" w:ascii="仿宋_GB2312" w:hAnsi="仿宋_GB2312" w:eastAsia="仿宋_GB2312" w:cs="仿宋_GB2312"/>
          <w:b/>
          <w:bCs/>
          <w:sz w:val="32"/>
          <w:szCs w:val="32"/>
        </w:rPr>
        <w:fldChar w:fldCharType="end"/>
      </w:r>
    </w:p>
    <w:p w14:paraId="27B0A365">
      <w:pPr>
        <w:pStyle w:val="7"/>
        <w:tabs>
          <w:tab w:val="right" w:pos="8306"/>
        </w:tabs>
        <w:rPr>
          <w:rFonts w:ascii="仿宋_GB2312" w:hAnsi="仿宋_GB2312" w:eastAsia="仿宋_GB2312" w:cs="仿宋_GB2312"/>
          <w:b/>
          <w:bCs/>
          <w:sz w:val="32"/>
          <w:szCs w:val="32"/>
        </w:rPr>
      </w:pPr>
      <w:r>
        <w:fldChar w:fldCharType="begin"/>
      </w:r>
      <w:r>
        <w:instrText xml:space="preserve"> HYPERLINK \l "_Toc22784" </w:instrText>
      </w:r>
      <w:r>
        <w:fldChar w:fldCharType="separate"/>
      </w:r>
      <w:r>
        <w:rPr>
          <w:rFonts w:hint="eastAsia" w:ascii="仿宋_GB2312" w:hAnsi="仿宋_GB2312" w:eastAsia="仿宋_GB2312" w:cs="仿宋_GB2312"/>
          <w:b/>
          <w:bCs/>
          <w:sz w:val="32"/>
          <w:szCs w:val="32"/>
        </w:rPr>
        <w:t>第四部分 部门决算报表（见附表）</w:t>
      </w:r>
      <w:r>
        <w:rPr>
          <w:rFonts w:hint="eastAsia" w:ascii="仿宋_GB2312" w:hAnsi="仿宋_GB2312" w:eastAsia="仿宋_GB2312" w:cs="仿宋_GB2312"/>
          <w:b/>
          <w:bCs/>
          <w:sz w:val="32"/>
          <w:szCs w:val="32"/>
        </w:rPr>
        <w:fldChar w:fldCharType="end"/>
      </w:r>
    </w:p>
    <w:p w14:paraId="6DF14779">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"_Toc2183" </w:instrText>
      </w:r>
      <w:r>
        <w:fldChar w:fldCharType="separate"/>
      </w:r>
      <w:r>
        <w:rPr>
          <w:rFonts w:hint="eastAsia" w:ascii="仿宋_GB2312" w:hAnsi="仿宋_GB2312" w:eastAsia="仿宋_GB2312" w:cs="仿宋_GB2312"/>
          <w:bCs/>
          <w:kern w:val="0"/>
          <w:sz w:val="32"/>
          <w:szCs w:val="32"/>
        </w:rPr>
        <w:t>一、《收入支出决算总表》</w:t>
      </w:r>
      <w:r>
        <w:rPr>
          <w:rFonts w:hint="eastAsia" w:ascii="仿宋_GB2312" w:hAnsi="仿宋_GB2312" w:eastAsia="仿宋_GB2312" w:cs="仿宋_GB2312"/>
          <w:bCs/>
          <w:kern w:val="0"/>
          <w:sz w:val="32"/>
          <w:szCs w:val="32"/>
        </w:rPr>
        <w:fldChar w:fldCharType="end"/>
      </w:r>
    </w:p>
    <w:p w14:paraId="22B08C0B">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"_Toc24532" </w:instrText>
      </w:r>
      <w:r>
        <w:fldChar w:fldCharType="separate"/>
      </w:r>
      <w:r>
        <w:rPr>
          <w:rFonts w:hint="eastAsia" w:ascii="仿宋_GB2312" w:hAnsi="仿宋_GB2312" w:eastAsia="仿宋_GB2312" w:cs="仿宋_GB2312"/>
          <w:bCs/>
          <w:kern w:val="0"/>
          <w:sz w:val="32"/>
          <w:szCs w:val="32"/>
        </w:rPr>
        <w:t>二、《收入决算表》</w:t>
      </w:r>
      <w:r>
        <w:rPr>
          <w:rFonts w:hint="eastAsia" w:ascii="仿宋_GB2312" w:hAnsi="仿宋_GB2312" w:eastAsia="仿宋_GB2312" w:cs="仿宋_GB2312"/>
          <w:bCs/>
          <w:kern w:val="0"/>
          <w:sz w:val="32"/>
          <w:szCs w:val="32"/>
        </w:rPr>
        <w:fldChar w:fldCharType="end"/>
      </w:r>
    </w:p>
    <w:p w14:paraId="5E8791D8">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"_Toc32434" </w:instrText>
      </w:r>
      <w:r>
        <w:fldChar w:fldCharType="separate"/>
      </w:r>
      <w:r>
        <w:rPr>
          <w:rFonts w:hint="eastAsia" w:ascii="仿宋_GB2312" w:hAnsi="仿宋_GB2312" w:eastAsia="仿宋_GB2312" w:cs="仿宋_GB2312"/>
          <w:bCs/>
          <w:kern w:val="0"/>
          <w:sz w:val="32"/>
          <w:szCs w:val="32"/>
        </w:rPr>
        <w:t>三、《支出决算表》</w:t>
      </w:r>
      <w:r>
        <w:rPr>
          <w:rFonts w:hint="eastAsia" w:ascii="仿宋_GB2312" w:hAnsi="仿宋_GB2312" w:eastAsia="仿宋_GB2312" w:cs="仿宋_GB2312"/>
          <w:bCs/>
          <w:kern w:val="0"/>
          <w:sz w:val="32"/>
          <w:szCs w:val="32"/>
        </w:rPr>
        <w:fldChar w:fldCharType="end"/>
      </w:r>
    </w:p>
    <w:p w14:paraId="01E79001">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"_Toc28786" </w:instrText>
      </w:r>
      <w:r>
        <w:fldChar w:fldCharType="separate"/>
      </w:r>
      <w:r>
        <w:rPr>
          <w:rFonts w:hint="eastAsia" w:ascii="仿宋_GB2312" w:hAnsi="仿宋_GB2312" w:eastAsia="仿宋_GB2312" w:cs="仿宋_GB2312"/>
          <w:bCs/>
          <w:kern w:val="0"/>
          <w:sz w:val="32"/>
          <w:szCs w:val="32"/>
        </w:rPr>
        <w:t>四、《财政拨款收入支出决算总表》</w:t>
      </w:r>
      <w:r>
        <w:rPr>
          <w:rFonts w:hint="eastAsia" w:ascii="仿宋_GB2312" w:hAnsi="仿宋_GB2312" w:eastAsia="仿宋_GB2312" w:cs="仿宋_GB2312"/>
          <w:bCs/>
          <w:kern w:val="0"/>
          <w:sz w:val="32"/>
          <w:szCs w:val="32"/>
        </w:rPr>
        <w:fldChar w:fldCharType="end"/>
      </w:r>
    </w:p>
    <w:p w14:paraId="7BCA5F8B">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"_Toc14869" </w:instrText>
      </w:r>
      <w:r>
        <w:fldChar w:fldCharType="separate"/>
      </w:r>
      <w:r>
        <w:rPr>
          <w:rFonts w:hint="eastAsia" w:ascii="仿宋_GB2312" w:hAnsi="仿宋_GB2312" w:eastAsia="仿宋_GB2312" w:cs="仿宋_GB2312"/>
          <w:bCs/>
          <w:kern w:val="0"/>
          <w:sz w:val="32"/>
          <w:szCs w:val="32"/>
        </w:rPr>
        <w:t>五、《一般公共预算财政拨款支出决算表》</w:t>
      </w:r>
      <w:r>
        <w:rPr>
          <w:rFonts w:hint="eastAsia" w:ascii="仿宋_GB2312" w:hAnsi="仿宋_GB2312" w:eastAsia="仿宋_GB2312" w:cs="仿宋_GB2312"/>
          <w:bCs/>
          <w:kern w:val="0"/>
          <w:sz w:val="32"/>
          <w:szCs w:val="32"/>
        </w:rPr>
        <w:fldChar w:fldCharType="end"/>
      </w:r>
    </w:p>
    <w:p w14:paraId="085E38AC">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"_Toc8884" </w:instrText>
      </w:r>
      <w:r>
        <w:fldChar w:fldCharType="separate"/>
      </w:r>
      <w:r>
        <w:rPr>
          <w:rFonts w:hint="eastAsia" w:ascii="仿宋_GB2312" w:hAnsi="仿宋_GB2312" w:eastAsia="仿宋_GB2312" w:cs="仿宋_GB2312"/>
          <w:bCs/>
          <w:kern w:val="0"/>
          <w:sz w:val="32"/>
          <w:szCs w:val="32"/>
        </w:rPr>
        <w:t>六、《一般公共预算财政拨款基本支出决算表》</w:t>
      </w:r>
      <w:r>
        <w:rPr>
          <w:rFonts w:hint="eastAsia" w:ascii="仿宋_GB2312" w:hAnsi="仿宋_GB2312" w:eastAsia="仿宋_GB2312" w:cs="仿宋_GB2312"/>
          <w:bCs/>
          <w:kern w:val="0"/>
          <w:sz w:val="32"/>
          <w:szCs w:val="32"/>
        </w:rPr>
        <w:fldChar w:fldCharType="end"/>
      </w:r>
    </w:p>
    <w:p w14:paraId="06E5C708">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"_Toc29106" </w:instrText>
      </w:r>
      <w:r>
        <w:fldChar w:fldCharType="separate"/>
      </w:r>
      <w:r>
        <w:rPr>
          <w:rFonts w:hint="eastAsia" w:ascii="仿宋_GB2312" w:hAnsi="仿宋_GB2312" w:eastAsia="仿宋_GB2312" w:cs="仿宋_GB2312"/>
          <w:bCs/>
          <w:kern w:val="0"/>
          <w:sz w:val="32"/>
          <w:szCs w:val="32"/>
        </w:rPr>
        <w:t>七、《财政拨款“三公”经费支出决算表》</w:t>
      </w:r>
      <w:r>
        <w:rPr>
          <w:rFonts w:hint="eastAsia" w:ascii="仿宋_GB2312" w:hAnsi="仿宋_GB2312" w:eastAsia="仿宋_GB2312" w:cs="仿宋_GB2312"/>
          <w:bCs/>
          <w:kern w:val="0"/>
          <w:sz w:val="32"/>
          <w:szCs w:val="32"/>
        </w:rPr>
        <w:fldChar w:fldCharType="end"/>
      </w:r>
    </w:p>
    <w:p w14:paraId="09521A01">
      <w:pPr>
        <w:pStyle w:val="8"/>
        <w:tabs>
          <w:tab w:val="right" w:pos="8306"/>
        </w:tabs>
        <w:ind w:left="0" w:leftChars="0"/>
        <w:rPr>
          <w:rFonts w:ascii="仿宋_GB2312" w:hAnsi="仿宋_GB2312" w:eastAsia="仿宋_GB2312" w:cs="仿宋_GB2312"/>
          <w:bCs/>
          <w:kern w:val="0"/>
          <w:sz w:val="32"/>
          <w:szCs w:val="32"/>
        </w:rPr>
      </w:pPr>
      <w:r>
        <w:fldChar w:fldCharType="begin"/>
      </w:r>
      <w:r>
        <w:instrText xml:space="preserve"> HYPERLINK \l "_Toc7643" </w:instrText>
      </w:r>
      <w:r>
        <w:fldChar w:fldCharType="separate"/>
      </w:r>
      <w:r>
        <w:rPr>
          <w:rFonts w:hint="eastAsia" w:ascii="仿宋_GB2312" w:hAnsi="仿宋_GB2312" w:eastAsia="仿宋_GB2312" w:cs="仿宋_GB2312"/>
          <w:bCs/>
          <w:kern w:val="0"/>
          <w:sz w:val="32"/>
          <w:szCs w:val="32"/>
        </w:rPr>
        <w:t>八、《政府性基金预算财政拨款收入支出决算表》</w:t>
      </w:r>
      <w:r>
        <w:rPr>
          <w:rFonts w:hint="eastAsia" w:ascii="仿宋_GB2312" w:hAnsi="仿宋_GB2312" w:eastAsia="仿宋_GB2312" w:cs="仿宋_GB2312"/>
          <w:bCs/>
          <w:kern w:val="0"/>
          <w:sz w:val="32"/>
          <w:szCs w:val="32"/>
        </w:rPr>
        <w:fldChar w:fldCharType="end"/>
      </w:r>
    </w:p>
    <w:p w14:paraId="2495BD2E">
      <w:pPr>
        <w:pStyle w:val="8"/>
        <w:tabs>
          <w:tab w:val="right" w:pos="8306"/>
        </w:tabs>
        <w:ind w:left="0" w:leftChars="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九、《国有资本经营预算财政拨款收入支出决算表》</w:t>
      </w:r>
    </w:p>
    <w:p w14:paraId="0BB7689E">
      <w:r>
        <w:rPr>
          <w:rFonts w:hint="eastAsia" w:ascii="仿宋_GB2312" w:hAnsi="仿宋_GB2312" w:eastAsia="仿宋_GB2312" w:cs="仿宋_GB2312"/>
          <w:sz w:val="32"/>
          <w:szCs w:val="32"/>
        </w:rPr>
        <w:fldChar w:fldCharType="end"/>
      </w:r>
    </w:p>
    <w:p w14:paraId="7ADA61A3">
      <w:pPr>
        <w:ind w:firstLine="640" w:firstLineChars="200"/>
        <w:jc w:val="center"/>
        <w:outlineLvl w:val="0"/>
        <w:rPr>
          <w:rFonts w:ascii="黑体" w:hAnsi="黑体" w:eastAsia="黑体"/>
          <w:sz w:val="32"/>
          <w:szCs w:val="32"/>
        </w:rPr>
      </w:pPr>
      <w:r>
        <w:rPr>
          <w:rFonts w:hint="eastAsia" w:ascii="仿宋_GB2312" w:eastAsia="仿宋_GB2312"/>
          <w:sz w:val="32"/>
          <w:szCs w:val="32"/>
        </w:rPr>
        <w:br w:type="page"/>
      </w:r>
      <w:bookmarkStart w:id="0" w:name="_Toc24028"/>
      <w:bookmarkStart w:id="1" w:name="_Toc32314"/>
      <w:r>
        <w:rPr>
          <w:rFonts w:hint="eastAsia" w:ascii="黑体" w:hAnsi="黑体" w:eastAsia="黑体"/>
          <w:sz w:val="32"/>
          <w:szCs w:val="32"/>
        </w:rPr>
        <w:t>第一部分 单位概况</w:t>
      </w:r>
      <w:bookmarkEnd w:id="0"/>
      <w:bookmarkEnd w:id="1"/>
    </w:p>
    <w:p w14:paraId="372A3C54">
      <w:pPr>
        <w:ind w:firstLine="640" w:firstLineChars="200"/>
        <w:outlineLvl w:val="1"/>
        <w:rPr>
          <w:rFonts w:ascii="黑体" w:hAnsi="黑体" w:eastAsia="黑体" w:cs="宋体"/>
          <w:bCs/>
          <w:kern w:val="0"/>
          <w:sz w:val="32"/>
          <w:szCs w:val="32"/>
        </w:rPr>
      </w:pPr>
      <w:bookmarkStart w:id="2" w:name="_Toc30738"/>
      <w:bookmarkStart w:id="3" w:name="_Toc30567"/>
      <w:r>
        <w:rPr>
          <w:rFonts w:hint="eastAsia" w:ascii="黑体" w:hAnsi="黑体" w:eastAsia="黑体" w:cs="宋体"/>
          <w:bCs/>
          <w:kern w:val="0"/>
          <w:sz w:val="32"/>
          <w:szCs w:val="32"/>
        </w:rPr>
        <w:t>一、主要职能</w:t>
      </w:r>
      <w:bookmarkEnd w:id="2"/>
      <w:bookmarkEnd w:id="3"/>
    </w:p>
    <w:p w14:paraId="231DD3B6">
      <w:pPr>
        <w:spacing w:line="540" w:lineRule="exact"/>
        <w:ind w:firstLine="640" w:firstLineChars="200"/>
        <w:rPr>
          <w:rFonts w:ascii="仿宋_GB2312" w:hAnsi="仿宋_GB2312" w:eastAsia="仿宋_GB2312"/>
          <w:sz w:val="32"/>
        </w:rPr>
      </w:pPr>
      <w:bookmarkStart w:id="4" w:name="_Toc31238"/>
      <w:bookmarkStart w:id="5" w:name="_Toc2151"/>
      <w:r>
        <w:rPr>
          <w:rFonts w:hint="eastAsia" w:ascii="仿宋_GB2312" w:hAnsi="仿宋_GB2312" w:eastAsia="仿宋_GB2312"/>
          <w:sz w:val="32"/>
        </w:rPr>
        <w:t>1.负责贯彻党的教育方针，坚持社会主义办学方向，对学生进行德育、智育、体育、美育和劳动教育等方面的教育。</w:t>
      </w:r>
    </w:p>
    <w:p w14:paraId="779C643C">
      <w:pPr>
        <w:spacing w:line="540" w:lineRule="exact"/>
        <w:ind w:firstLine="640" w:firstLineChars="200"/>
        <w:rPr>
          <w:rFonts w:ascii="仿宋_GB2312" w:hAnsi="仿宋_GB2312" w:eastAsia="仿宋_GB2312"/>
          <w:sz w:val="32"/>
        </w:rPr>
      </w:pPr>
      <w:r>
        <w:rPr>
          <w:rFonts w:hint="eastAsia" w:ascii="仿宋_GB2312" w:hAnsi="仿宋_GB2312" w:eastAsia="仿宋_GB2312"/>
          <w:sz w:val="32"/>
        </w:rPr>
        <w:t>2.负责配合高新区（新市区）教育局依法动员适龄儿童、少年入学，严格控制学生辍学，依法保证适龄儿童、少年接受九年义务教育。</w:t>
      </w:r>
    </w:p>
    <w:p w14:paraId="4ED4AEC1">
      <w:pPr>
        <w:spacing w:line="540" w:lineRule="exact"/>
        <w:ind w:firstLine="640" w:firstLineChars="200"/>
        <w:rPr>
          <w:rFonts w:ascii="仿宋_GB2312" w:hAnsi="仿宋_GB2312" w:eastAsia="仿宋_GB2312"/>
          <w:sz w:val="32"/>
        </w:rPr>
      </w:pPr>
      <w:r>
        <w:rPr>
          <w:rFonts w:hint="eastAsia" w:ascii="仿宋_GB2312" w:hAnsi="仿宋_GB2312" w:eastAsia="仿宋_GB2312"/>
          <w:sz w:val="32"/>
        </w:rPr>
        <w:t>3.负责制定学校教育发展规划，并抓好组织实施和落实工作。</w:t>
      </w:r>
    </w:p>
    <w:p w14:paraId="0B19C583">
      <w:pPr>
        <w:spacing w:line="540" w:lineRule="exact"/>
        <w:ind w:firstLine="640" w:firstLineChars="200"/>
        <w:rPr>
          <w:rFonts w:ascii="仿宋_GB2312" w:hAnsi="仿宋_GB2312" w:eastAsia="仿宋_GB2312"/>
          <w:sz w:val="32"/>
        </w:rPr>
      </w:pPr>
      <w:r>
        <w:rPr>
          <w:rFonts w:hint="eastAsia" w:ascii="仿宋_GB2312" w:hAnsi="仿宋_GB2312" w:eastAsia="仿宋_GB2312"/>
          <w:sz w:val="32"/>
        </w:rPr>
        <w:t>4.负责按照教育主管部门发布的指导性教学计划、教学大纲，组织实施教育教学活动。</w:t>
      </w:r>
    </w:p>
    <w:p w14:paraId="58A194E0">
      <w:pPr>
        <w:spacing w:line="540" w:lineRule="exact"/>
        <w:ind w:firstLine="640" w:firstLineChars="200"/>
        <w:rPr>
          <w:rFonts w:ascii="仿宋_GB2312" w:hAnsi="仿宋_GB2312" w:eastAsia="仿宋_GB2312"/>
          <w:sz w:val="32"/>
        </w:rPr>
      </w:pPr>
      <w:r>
        <w:rPr>
          <w:rFonts w:hint="eastAsia" w:ascii="仿宋_GB2312" w:hAnsi="仿宋_GB2312" w:eastAsia="仿宋_GB2312"/>
          <w:sz w:val="32"/>
        </w:rPr>
        <w:t>5.负责依据国家主管部门有关教学计划、课程设置等方面的规定，决定和实施本校的教学计划，组织教学评比、集体备 课，对学生进行统一考核、考试等。</w:t>
      </w:r>
    </w:p>
    <w:p w14:paraId="6DDD1415">
      <w:pPr>
        <w:spacing w:line="540" w:lineRule="exact"/>
        <w:ind w:firstLine="640" w:firstLineChars="200"/>
        <w:rPr>
          <w:rFonts w:ascii="仿宋_GB2312" w:hAnsi="仿宋_GB2312" w:eastAsia="仿宋_GB2312"/>
          <w:sz w:val="32"/>
        </w:rPr>
      </w:pPr>
      <w:r>
        <w:rPr>
          <w:rFonts w:hint="eastAsia" w:ascii="仿宋_GB2312" w:hAnsi="仿宋_GB2312" w:eastAsia="仿宋_GB2312"/>
          <w:sz w:val="32"/>
        </w:rPr>
        <w:t>6.负责科学管理、合理使用学校的设施和经费，并积极筹 措资金，改善办学条件。</w:t>
      </w:r>
    </w:p>
    <w:p w14:paraId="43E3BD78">
      <w:pPr>
        <w:spacing w:line="540" w:lineRule="exact"/>
        <w:ind w:firstLine="640" w:firstLineChars="200"/>
        <w:rPr>
          <w:rFonts w:ascii="仿宋_GB2312" w:hAnsi="仿宋_GB2312" w:eastAsia="仿宋_GB2312"/>
          <w:sz w:val="32"/>
        </w:rPr>
      </w:pPr>
      <w:r>
        <w:rPr>
          <w:rFonts w:hint="eastAsia" w:ascii="仿宋_GB2312" w:hAnsi="仿宋_GB2312" w:eastAsia="仿宋_GB2312"/>
          <w:sz w:val="32"/>
        </w:rPr>
        <w:t>7.负责维护学校、师生的合法权益，有权拒绝任何组织和 个人对教育教学活动进行非法干涉。</w:t>
      </w:r>
    </w:p>
    <w:p w14:paraId="6B51AED4">
      <w:pPr>
        <w:autoSpaceDE w:val="0"/>
        <w:autoSpaceDN w:val="0"/>
        <w:adjustRightInd w:val="0"/>
        <w:spacing w:line="360" w:lineRule="auto"/>
        <w:ind w:firstLine="640" w:firstLineChars="200"/>
        <w:rPr>
          <w:rFonts w:eastAsia="仿宋_GB2312"/>
          <w:sz w:val="32"/>
          <w:szCs w:val="32"/>
        </w:rPr>
      </w:pPr>
      <w:r>
        <w:rPr>
          <w:rFonts w:hint="eastAsia" w:ascii="仿宋_GB2312" w:hAnsi="仿宋_GB2312" w:eastAsia="仿宋_GB2312"/>
          <w:sz w:val="32"/>
        </w:rPr>
        <w:t>8.依法接受各级教育行政部门的检查指导和人民群众的监督。</w:t>
      </w:r>
    </w:p>
    <w:p w14:paraId="040A89ED">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二、机构设置及</w:t>
      </w:r>
      <w:bookmarkEnd w:id="4"/>
      <w:r>
        <w:rPr>
          <w:rFonts w:hint="eastAsia" w:ascii="黑体" w:hAnsi="黑体" w:eastAsia="黑体" w:cs="宋体"/>
          <w:bCs/>
          <w:kern w:val="0"/>
          <w:sz w:val="32"/>
          <w:szCs w:val="32"/>
        </w:rPr>
        <w:t>人员情况</w:t>
      </w:r>
      <w:bookmarkEnd w:id="5"/>
    </w:p>
    <w:p w14:paraId="39BEF45B">
      <w:pPr>
        <w:shd w:val="clear" w:color="auto" w:fill="FFFFFF"/>
        <w:autoSpaceDE w:val="0"/>
        <w:autoSpaceDN w:val="0"/>
        <w:adjustRightInd w:val="0"/>
        <w:spacing w:line="360" w:lineRule="auto"/>
        <w:ind w:firstLine="640"/>
        <w:rPr>
          <w:rFonts w:ascii="仿宋_GB2312" w:eastAsia="仿宋_GB2312" w:cs="仿宋_GB2312"/>
          <w:kern w:val="0"/>
          <w:sz w:val="32"/>
          <w:szCs w:val="32"/>
        </w:rPr>
      </w:pPr>
      <w:r>
        <w:rPr>
          <w:rFonts w:hint="eastAsia" w:ascii="仿宋_GB2312" w:eastAsia="仿宋_GB2312" w:cs="仿宋_GB2312"/>
          <w:kern w:val="0"/>
          <w:sz w:val="32"/>
          <w:szCs w:val="32"/>
        </w:rPr>
        <w:t>新疆乌鲁木齐市第128小学2022年度，实有人数37人，其中：在职人员22人，离休人员0人，退休人员15人。</w:t>
      </w:r>
    </w:p>
    <w:p w14:paraId="4495290B">
      <w:pPr>
        <w:shd w:val="clear" w:color="auto" w:fill="FFFFFF"/>
        <w:autoSpaceDE w:val="0"/>
        <w:autoSpaceDN w:val="0"/>
        <w:adjustRightInd w:val="0"/>
        <w:spacing w:line="360" w:lineRule="auto"/>
        <w:ind w:firstLine="640"/>
        <w:rPr>
          <w:rFonts w:ascii="仿宋_GB2312" w:eastAsia="仿宋_GB2312" w:cs="仿宋_GB2312"/>
          <w:kern w:val="0"/>
          <w:sz w:val="32"/>
          <w:szCs w:val="32"/>
          <w:lang w:val="zh-CN"/>
        </w:rPr>
      </w:pPr>
      <w:r>
        <w:rPr>
          <w:rFonts w:hint="eastAsia" w:ascii="仿宋_GB2312" w:eastAsia="仿宋_GB2312" w:cs="仿宋_GB2312"/>
          <w:kern w:val="0"/>
          <w:sz w:val="32"/>
          <w:szCs w:val="32"/>
        </w:rPr>
        <w:t>从部门决算单位构成看，新疆乌鲁木齐市第128小学部门决算包括：新疆乌鲁木齐市第128小学</w:t>
      </w:r>
      <w:r>
        <w:rPr>
          <w:rFonts w:hint="eastAsia" w:ascii="仿宋_GB2312" w:eastAsia="仿宋_GB2312" w:cs="仿宋_GB2312"/>
          <w:kern w:val="0"/>
          <w:sz w:val="32"/>
          <w:szCs w:val="32"/>
          <w:lang w:val="zh-CN"/>
        </w:rPr>
        <w:t>决算。单位无下属预算单位。</w:t>
      </w:r>
    </w:p>
    <w:p w14:paraId="469191F5">
      <w:pPr>
        <w:shd w:val="clear" w:color="auto" w:fill="FFFFFF"/>
        <w:autoSpaceDE w:val="0"/>
        <w:autoSpaceDN w:val="0"/>
        <w:adjustRightInd w:val="0"/>
        <w:spacing w:line="360" w:lineRule="auto"/>
        <w:ind w:firstLine="640"/>
        <w:rPr>
          <w:rFonts w:ascii="仿宋_GB2312" w:eastAsia="仿宋_GB2312" w:cs="仿宋_GB2312"/>
          <w:kern w:val="0"/>
          <w:sz w:val="32"/>
          <w:szCs w:val="32"/>
          <w:lang w:val="zh-CN"/>
        </w:rPr>
      </w:pP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val="zh-CN"/>
        </w:rPr>
        <w:t>新疆乌鲁木齐市第</w:t>
      </w:r>
      <w:r>
        <w:rPr>
          <w:rFonts w:hint="eastAsia" w:ascii="仿宋_GB2312" w:eastAsia="仿宋_GB2312" w:cs="仿宋_GB2312"/>
          <w:kern w:val="0"/>
          <w:sz w:val="32"/>
          <w:szCs w:val="32"/>
        </w:rPr>
        <w:t>128小</w:t>
      </w:r>
      <w:r>
        <w:rPr>
          <w:rFonts w:hint="eastAsia" w:ascii="仿宋_GB2312" w:eastAsia="仿宋_GB2312" w:cs="仿宋_GB2312"/>
          <w:kern w:val="0"/>
          <w:sz w:val="32"/>
          <w:szCs w:val="32"/>
          <w:lang w:val="zh-CN"/>
        </w:rPr>
        <w:t>学本级下设7个科室，分别是：党政办、总务科、安保科、教研室、教务处、工会、德育处。</w:t>
      </w:r>
    </w:p>
    <w:p w14:paraId="460E762B">
      <w:pPr>
        <w:ind w:firstLine="640" w:firstLineChars="200"/>
        <w:jc w:val="center"/>
        <w:outlineLvl w:val="0"/>
        <w:rPr>
          <w:rFonts w:ascii="黑体" w:hAnsi="黑体" w:eastAsia="黑体"/>
          <w:sz w:val="32"/>
          <w:szCs w:val="32"/>
        </w:rPr>
      </w:pPr>
      <w:bookmarkStart w:id="6" w:name="_Toc3092"/>
      <w:bookmarkStart w:id="7" w:name="_Toc29374"/>
      <w:r>
        <w:rPr>
          <w:rFonts w:hint="eastAsia" w:ascii="黑体" w:hAnsi="黑体" w:eastAsia="黑体"/>
          <w:sz w:val="32"/>
          <w:szCs w:val="32"/>
        </w:rPr>
        <w:br w:type="page"/>
      </w:r>
      <w:r>
        <w:rPr>
          <w:rFonts w:hint="eastAsia" w:ascii="黑体" w:hAnsi="黑体" w:eastAsia="黑体"/>
          <w:sz w:val="32"/>
          <w:szCs w:val="32"/>
        </w:rPr>
        <w:t>第二部分 部门决算情况说明</w:t>
      </w:r>
      <w:bookmarkEnd w:id="6"/>
      <w:bookmarkEnd w:id="7"/>
    </w:p>
    <w:p w14:paraId="5D84B4BE">
      <w:pPr>
        <w:ind w:firstLine="640" w:firstLineChars="200"/>
        <w:outlineLvl w:val="1"/>
        <w:rPr>
          <w:rFonts w:ascii="黑体" w:hAnsi="黑体" w:eastAsia="黑体" w:cs="宋体"/>
          <w:bCs/>
          <w:kern w:val="0"/>
          <w:sz w:val="32"/>
          <w:szCs w:val="32"/>
        </w:rPr>
      </w:pPr>
      <w:bookmarkStart w:id="8" w:name="_Toc12566"/>
      <w:bookmarkStart w:id="9" w:name="_Toc25314"/>
      <w:r>
        <w:rPr>
          <w:rFonts w:hint="eastAsia" w:ascii="黑体" w:hAnsi="黑体" w:eastAsia="黑体" w:cs="宋体"/>
          <w:bCs/>
          <w:kern w:val="0"/>
          <w:sz w:val="32"/>
          <w:szCs w:val="32"/>
        </w:rPr>
        <w:t>一、收入支出决算总体情况说明</w:t>
      </w:r>
      <w:bookmarkEnd w:id="8"/>
      <w:bookmarkEnd w:id="9"/>
    </w:p>
    <w:p w14:paraId="2C5D6D0C">
      <w:pPr>
        <w:ind w:firstLine="640" w:firstLineChars="200"/>
        <w:rPr>
          <w:rFonts w:ascii="仿宋_GB2312" w:eastAsia="仿宋_GB2312"/>
          <w:sz w:val="32"/>
          <w:szCs w:val="32"/>
        </w:rPr>
      </w:pPr>
      <w:r>
        <w:rPr>
          <w:rFonts w:hint="eastAsia" w:ascii="仿宋_GB2312" w:eastAsia="仿宋_GB2312"/>
          <w:sz w:val="32"/>
          <w:szCs w:val="32"/>
        </w:rPr>
        <w:t>2022年度收入总计439.88万元，其中：本年收入合计423.95万元，使用非财政拨款结余0.00万元，年初结转和结余15.93万元。收入总计与上年相比，减少6.30万元，下降1.41%，主要原因是：在职人员减少1人,收入减少。</w:t>
      </w:r>
    </w:p>
    <w:p w14:paraId="08A54713">
      <w:pPr>
        <w:ind w:firstLine="640" w:firstLineChars="200"/>
        <w:rPr>
          <w:rFonts w:ascii="仿宋_GB2312" w:eastAsia="仿宋_GB2312"/>
          <w:sz w:val="32"/>
          <w:szCs w:val="32"/>
        </w:rPr>
      </w:pPr>
      <w:r>
        <w:rPr>
          <w:rFonts w:hint="eastAsia" w:ascii="仿宋_GB2312" w:eastAsia="仿宋_GB2312"/>
          <w:sz w:val="32"/>
          <w:szCs w:val="32"/>
        </w:rPr>
        <w:t>本年支出总计439.88万元，其中：本年支出合计439.83万元，结余分配0.00万元，年末结转和结余0.05万元。支出总计与上年相比，减少6.30万元，下降1.41%，主要原因是：在职人员减少1人，支出减少。</w:t>
      </w:r>
    </w:p>
    <w:p w14:paraId="30CF1F83">
      <w:pPr>
        <w:ind w:firstLine="640" w:firstLineChars="200"/>
        <w:outlineLvl w:val="1"/>
        <w:rPr>
          <w:rFonts w:ascii="黑体" w:hAnsi="黑体" w:eastAsia="黑体" w:cs="宋体"/>
          <w:bCs/>
          <w:kern w:val="0"/>
          <w:sz w:val="32"/>
          <w:szCs w:val="32"/>
        </w:rPr>
      </w:pPr>
      <w:bookmarkStart w:id="10" w:name="_Toc1979"/>
      <w:bookmarkStart w:id="11" w:name="_Toc12142"/>
      <w:r>
        <w:rPr>
          <w:rFonts w:hint="eastAsia" w:ascii="黑体" w:hAnsi="黑体" w:eastAsia="黑体" w:cs="宋体"/>
          <w:bCs/>
          <w:kern w:val="0"/>
          <w:sz w:val="32"/>
          <w:szCs w:val="32"/>
        </w:rPr>
        <w:t>二、收入决算情况说明</w:t>
      </w:r>
      <w:bookmarkEnd w:id="10"/>
      <w:bookmarkEnd w:id="11"/>
    </w:p>
    <w:p w14:paraId="48DBC5D6">
      <w:pPr>
        <w:ind w:firstLine="640" w:firstLineChars="200"/>
        <w:rPr>
          <w:rFonts w:ascii="仿宋_GB2312" w:eastAsia="仿宋_GB2312"/>
          <w:sz w:val="32"/>
          <w:szCs w:val="32"/>
        </w:rPr>
      </w:pPr>
      <w:r>
        <w:rPr>
          <w:rFonts w:hint="eastAsia" w:ascii="仿宋_GB2312" w:eastAsia="仿宋_GB2312"/>
          <w:sz w:val="32"/>
          <w:szCs w:val="32"/>
        </w:rPr>
        <w:t>2022年度本年收入423.95万元，其中：财政拨款收入423.91万元，占99.99%；上级补助收入0.00万元，占0.00%；事业收入0.00万元，占0.00%；经营收入0.00万元，占0.00%；附属单位上缴收入0.00万元，占0.00%；其他收入0.04万元，占0.01%。</w:t>
      </w:r>
    </w:p>
    <w:p w14:paraId="6B72EDD8">
      <w:pPr>
        <w:ind w:firstLine="640" w:firstLineChars="200"/>
        <w:outlineLvl w:val="1"/>
        <w:rPr>
          <w:rFonts w:ascii="黑体" w:hAnsi="黑体" w:eastAsia="黑体" w:cs="宋体"/>
          <w:bCs/>
          <w:kern w:val="0"/>
          <w:sz w:val="32"/>
          <w:szCs w:val="32"/>
        </w:rPr>
      </w:pPr>
      <w:bookmarkStart w:id="12" w:name="_Toc13201"/>
      <w:bookmarkStart w:id="13" w:name="_Toc27961"/>
      <w:r>
        <w:rPr>
          <w:rFonts w:hint="eastAsia" w:ascii="黑体" w:hAnsi="黑体" w:eastAsia="黑体" w:cs="宋体"/>
          <w:bCs/>
          <w:kern w:val="0"/>
          <w:sz w:val="32"/>
          <w:szCs w:val="32"/>
        </w:rPr>
        <w:t>三、支出决算情况说明</w:t>
      </w:r>
      <w:bookmarkEnd w:id="12"/>
      <w:bookmarkEnd w:id="13"/>
    </w:p>
    <w:p w14:paraId="3CE4834D">
      <w:pPr>
        <w:ind w:firstLine="640" w:firstLineChars="200"/>
        <w:rPr>
          <w:rFonts w:ascii="仿宋_GB2312" w:eastAsia="仿宋_GB2312"/>
          <w:sz w:val="32"/>
          <w:szCs w:val="32"/>
        </w:rPr>
      </w:pPr>
      <w:r>
        <w:rPr>
          <w:rFonts w:hint="eastAsia" w:ascii="仿宋_GB2312" w:eastAsia="仿宋_GB2312"/>
          <w:sz w:val="32"/>
          <w:szCs w:val="32"/>
        </w:rPr>
        <w:t>2022年度本年支出439.83万元，其中：基本支出439.83万元，占100.0%；项目支出0.00万元，占0.00%；上缴上级支出0.00万元，占0.00%；经营支出0.00万元，占0.00%；对附属单位补助支出0.00万元，占0.00%。</w:t>
      </w:r>
    </w:p>
    <w:p w14:paraId="7A86781C">
      <w:pPr>
        <w:ind w:firstLine="640" w:firstLineChars="200"/>
        <w:outlineLvl w:val="1"/>
        <w:rPr>
          <w:rFonts w:ascii="黑体" w:hAnsi="黑体" w:eastAsia="黑体" w:cs="宋体"/>
          <w:bCs/>
          <w:kern w:val="0"/>
          <w:sz w:val="32"/>
          <w:szCs w:val="32"/>
        </w:rPr>
      </w:pPr>
      <w:bookmarkStart w:id="14" w:name="_Toc26564"/>
      <w:bookmarkStart w:id="15" w:name="_Toc4393"/>
      <w:r>
        <w:rPr>
          <w:rFonts w:hint="eastAsia" w:ascii="黑体" w:hAnsi="黑体" w:eastAsia="黑体" w:cs="宋体"/>
          <w:bCs/>
          <w:kern w:val="0"/>
          <w:sz w:val="32"/>
          <w:szCs w:val="32"/>
        </w:rPr>
        <w:t>四、财政拨款收入支出决算总体情况说明</w:t>
      </w:r>
      <w:bookmarkEnd w:id="14"/>
      <w:bookmarkEnd w:id="15"/>
    </w:p>
    <w:p w14:paraId="7D2CEE44">
      <w:pPr>
        <w:ind w:firstLine="640" w:firstLineChars="200"/>
        <w:rPr>
          <w:rFonts w:ascii="仿宋_GB2312" w:eastAsia="仿宋_GB2312"/>
          <w:sz w:val="32"/>
          <w:szCs w:val="32"/>
        </w:rPr>
      </w:pPr>
      <w:r>
        <w:rPr>
          <w:rFonts w:hint="eastAsia" w:ascii="仿宋_GB2312" w:eastAsia="仿宋_GB2312"/>
          <w:sz w:val="32"/>
          <w:szCs w:val="32"/>
        </w:rPr>
        <w:t>2022年度财政拨款收入总计439.84万元，其中：年初财政拨款结转和结余15.93万元，财政拨款本年收入423.91万元。财政拨款收入总计与上年相比，减少6.31万元，下降1.41%，主要原因是：在职人员减少1人，收入减少。</w:t>
      </w:r>
    </w:p>
    <w:p w14:paraId="2DFDCBB3">
      <w:pPr>
        <w:ind w:firstLine="640" w:firstLineChars="200"/>
        <w:rPr>
          <w:rFonts w:ascii="仿宋_GB2312" w:eastAsia="仿宋_GB2312"/>
          <w:sz w:val="32"/>
          <w:szCs w:val="32"/>
        </w:rPr>
      </w:pPr>
      <w:r>
        <w:rPr>
          <w:rFonts w:hint="eastAsia" w:ascii="仿宋_GB2312" w:eastAsia="仿宋_GB2312"/>
          <w:sz w:val="32"/>
          <w:szCs w:val="32"/>
        </w:rPr>
        <w:t>财政拨款支出总计439.84万元，其中：年末财政拨款结转和结余0.01万元，财政拨款本年支出439.83元。财政拨款支出总计与上年相比，减少6.31万元，下降1.41%，主要原因是：在职人员减少1人，支出减少。</w:t>
      </w:r>
    </w:p>
    <w:p w14:paraId="11FFB5D1">
      <w:pPr>
        <w:ind w:firstLine="640" w:firstLineChars="200"/>
        <w:rPr>
          <w:rFonts w:ascii="仿宋_GB2312" w:eastAsia="仿宋_GB2312"/>
          <w:sz w:val="32"/>
          <w:szCs w:val="32"/>
        </w:rPr>
      </w:pPr>
      <w:r>
        <w:rPr>
          <w:rFonts w:hint="eastAsia" w:ascii="仿宋_GB2312" w:eastAsia="仿宋_GB2312"/>
          <w:sz w:val="32"/>
          <w:szCs w:val="32"/>
        </w:rPr>
        <w:t>与年初预算数相比情况：财政拨款收入总计年初预算数401.56万元，决算数439.84万元，预决算差异率9.53%，主要原因是：社保及人员工资增加。财政拨款支出总计年初预算数401.56万元，决算数439.84万元，预决算差异率9.53%，主要原因是：人员工资及社保增加。</w:t>
      </w:r>
    </w:p>
    <w:p w14:paraId="456682CF">
      <w:pPr>
        <w:ind w:firstLine="640" w:firstLineChars="200"/>
        <w:outlineLvl w:val="1"/>
        <w:rPr>
          <w:rFonts w:ascii="黑体" w:hAnsi="黑体" w:eastAsia="黑体" w:cs="宋体"/>
          <w:bCs/>
          <w:kern w:val="0"/>
          <w:sz w:val="32"/>
          <w:szCs w:val="32"/>
        </w:rPr>
      </w:pPr>
      <w:bookmarkStart w:id="16" w:name="_Toc13833"/>
      <w:bookmarkStart w:id="17" w:name="_Toc20360"/>
      <w:r>
        <w:rPr>
          <w:rFonts w:hint="eastAsia" w:ascii="黑体" w:hAnsi="黑体" w:eastAsia="黑体" w:cs="宋体"/>
          <w:bCs/>
          <w:kern w:val="0"/>
          <w:sz w:val="32"/>
          <w:szCs w:val="32"/>
        </w:rPr>
        <w:t>五、一般公共预算财政拨款支出决算情况说明</w:t>
      </w:r>
      <w:bookmarkEnd w:id="16"/>
      <w:bookmarkEnd w:id="17"/>
    </w:p>
    <w:p w14:paraId="761130D7">
      <w:pPr>
        <w:ind w:firstLine="640" w:firstLineChars="200"/>
        <w:outlineLvl w:val="2"/>
        <w:rPr>
          <w:rFonts w:ascii="黑体" w:hAnsi="黑体" w:eastAsia="黑体"/>
          <w:sz w:val="32"/>
          <w:szCs w:val="32"/>
        </w:rPr>
      </w:pPr>
      <w:r>
        <w:rPr>
          <w:rFonts w:hint="eastAsia" w:ascii="黑体" w:hAnsi="黑体" w:eastAsia="黑体"/>
          <w:sz w:val="32"/>
          <w:szCs w:val="32"/>
        </w:rPr>
        <w:t>（一）一般公共预算财政拨款支出决算总体情况</w:t>
      </w:r>
    </w:p>
    <w:p w14:paraId="12551237">
      <w:pPr>
        <w:spacing w:line="600" w:lineRule="exact"/>
        <w:ind w:firstLine="640" w:firstLineChars="200"/>
        <w:rPr>
          <w:rFonts w:ascii="仿宋_GB2312" w:eastAsia="仿宋_GB2312"/>
          <w:sz w:val="32"/>
          <w:szCs w:val="32"/>
        </w:rPr>
      </w:pPr>
      <w:r>
        <w:rPr>
          <w:rFonts w:hint="eastAsia" w:ascii="仿宋_GB2312" w:eastAsia="仿宋_GB2312"/>
          <w:sz w:val="32"/>
          <w:szCs w:val="32"/>
        </w:rPr>
        <w:t>2022年度一般公共预算财政拨款支出439.83万元，占本年支出合计的100.00%，与上年相比，增加43.48万元，增长10.97%，主要原因是：人员工资及社保增加，支出增加。</w:t>
      </w:r>
    </w:p>
    <w:p w14:paraId="7E368464">
      <w:pPr>
        <w:ind w:firstLine="640" w:firstLineChars="200"/>
        <w:outlineLvl w:val="2"/>
        <w:rPr>
          <w:rFonts w:ascii="黑体" w:hAnsi="黑体" w:eastAsia="黑体"/>
          <w:sz w:val="32"/>
          <w:szCs w:val="32"/>
        </w:rPr>
      </w:pPr>
      <w:r>
        <w:rPr>
          <w:rFonts w:hint="eastAsia" w:ascii="黑体" w:hAnsi="黑体" w:eastAsia="黑体"/>
          <w:sz w:val="32"/>
          <w:szCs w:val="32"/>
        </w:rPr>
        <w:t>（二）一般公共预算财政拨款支出决算结构情况</w:t>
      </w:r>
    </w:p>
    <w:p w14:paraId="18B4A624">
      <w:pPr>
        <w:shd w:val="clear" w:color="auto" w:fill="FFFFFF"/>
        <w:autoSpaceDE w:val="0"/>
        <w:autoSpaceDN w:val="0"/>
        <w:adjustRightInd w:val="0"/>
        <w:spacing w:line="360" w:lineRule="auto"/>
        <w:ind w:firstLine="640"/>
        <w:rPr>
          <w:rFonts w:ascii="仿宋_GB2312" w:eastAsia="仿宋_GB2312" w:cs="仿宋_GB2312"/>
          <w:kern w:val="0"/>
          <w:sz w:val="32"/>
          <w:szCs w:val="32"/>
        </w:rPr>
      </w:pPr>
      <w:r>
        <w:rPr>
          <w:rFonts w:hint="eastAsia" w:ascii="仿宋_GB2312" w:eastAsia="仿宋_GB2312" w:cs="仿宋_GB2312"/>
          <w:kern w:val="0"/>
          <w:sz w:val="32"/>
          <w:szCs w:val="32"/>
        </w:rPr>
        <w:t>1.</w:t>
      </w:r>
      <w:r>
        <w:rPr>
          <w:rFonts w:hint="eastAsia" w:ascii="仿宋_GB2312" w:hAnsi="仿宋_GB2312" w:eastAsia="仿宋_GB2312" w:cs="仿宋_GB2312"/>
          <w:kern w:val="0"/>
          <w:sz w:val="32"/>
          <w:szCs w:val="32"/>
        </w:rPr>
        <w:t>教育支出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rPr>
        <w:tab/>
      </w:r>
      <w:r>
        <w:rPr>
          <w:rFonts w:hint="eastAsia" w:ascii="仿宋_GB2312" w:eastAsia="仿宋_GB2312" w:cs="仿宋_GB2312"/>
          <w:kern w:val="0"/>
          <w:sz w:val="32"/>
          <w:szCs w:val="32"/>
        </w:rPr>
        <w:t>439.83万元，</w:t>
      </w:r>
      <w:r>
        <w:rPr>
          <w:rFonts w:hint="eastAsia" w:ascii="仿宋_GB2312" w:hAnsi="仿宋_GB2312" w:eastAsia="仿宋_GB2312" w:cs="仿宋_GB2312"/>
          <w:kern w:val="0"/>
          <w:sz w:val="32"/>
          <w:szCs w:val="32"/>
        </w:rPr>
        <w:t>占</w:t>
      </w:r>
      <w:r>
        <w:rPr>
          <w:rFonts w:hint="eastAsia" w:ascii="仿宋_GB2312" w:eastAsia="仿宋_GB2312"/>
          <w:sz w:val="32"/>
          <w:szCs w:val="32"/>
        </w:rPr>
        <w:t>100</w:t>
      </w:r>
      <w:r>
        <w:rPr>
          <w:rFonts w:hint="eastAsia" w:ascii="仿宋_GB2312" w:hAnsi="仿宋_GB2312" w:eastAsia="仿宋_GB2312" w:cs="仿宋_GB2312"/>
          <w:kern w:val="0"/>
          <w:sz w:val="32"/>
          <w:szCs w:val="32"/>
        </w:rPr>
        <w:t>%。</w:t>
      </w:r>
    </w:p>
    <w:p w14:paraId="7956D595">
      <w:pPr>
        <w:ind w:firstLine="640" w:firstLineChars="200"/>
        <w:outlineLvl w:val="2"/>
        <w:rPr>
          <w:rFonts w:ascii="黑体" w:hAnsi="黑体" w:eastAsia="黑体"/>
          <w:sz w:val="32"/>
          <w:szCs w:val="32"/>
        </w:rPr>
      </w:pPr>
      <w:r>
        <w:rPr>
          <w:rFonts w:hint="eastAsia" w:ascii="黑体" w:hAnsi="黑体" w:eastAsia="黑体"/>
          <w:sz w:val="32"/>
          <w:szCs w:val="32"/>
        </w:rPr>
        <w:t>（三）一般公共预算财政拨款支出决算具体情况</w:t>
      </w:r>
    </w:p>
    <w:p w14:paraId="59833D64">
      <w:pPr>
        <w:shd w:val="clear" w:color="auto" w:fill="FFFFFF"/>
        <w:autoSpaceDE w:val="0"/>
        <w:autoSpaceDN w:val="0"/>
        <w:adjustRightInd w:val="0"/>
        <w:spacing w:line="36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教育支出（类）</w:t>
      </w:r>
      <w:r>
        <w:rPr>
          <w:rFonts w:hint="eastAsia" w:ascii="仿宋_GB2312" w:hAnsi="仿宋_GB2312" w:eastAsia="仿宋_GB2312" w:cs="仿宋_GB2312"/>
          <w:kern w:val="0"/>
          <w:sz w:val="32"/>
          <w:szCs w:val="32"/>
        </w:rPr>
        <w:t>普通教育（款）小学教育（项）</w:t>
      </w:r>
      <w:r>
        <w:rPr>
          <w:rFonts w:hint="eastAsia" w:ascii="仿宋_GB2312" w:eastAsia="仿宋_GB2312" w:cs="仿宋_GB2312"/>
          <w:kern w:val="0"/>
          <w:sz w:val="32"/>
          <w:szCs w:val="32"/>
        </w:rPr>
        <w:t>：支出决算数为439.83万元，</w:t>
      </w:r>
      <w:r>
        <w:rPr>
          <w:rFonts w:hint="eastAsia" w:ascii="仿宋_GB2312" w:hAnsi="仿宋_GB2312" w:eastAsia="仿宋_GB2312" w:cs="仿宋_GB2312"/>
          <w:kern w:val="0"/>
          <w:sz w:val="32"/>
          <w:szCs w:val="32"/>
        </w:rPr>
        <w:t>比上年决算增加</w:t>
      </w:r>
      <w:r>
        <w:rPr>
          <w:rFonts w:hint="eastAsia" w:ascii="仿宋_GB2312" w:eastAsia="仿宋_GB2312"/>
          <w:sz w:val="32"/>
          <w:szCs w:val="32"/>
        </w:rPr>
        <w:t>49.11</w:t>
      </w:r>
      <w:r>
        <w:rPr>
          <w:rFonts w:hint="eastAsia" w:ascii="仿宋_GB2312" w:hAnsi="仿宋_GB2312" w:eastAsia="仿宋_GB2312" w:cs="仿宋_GB2312"/>
          <w:kern w:val="0"/>
          <w:sz w:val="32"/>
          <w:szCs w:val="32"/>
        </w:rPr>
        <w:t>万元，增长12.57%，主要原因是：</w:t>
      </w:r>
      <w:r>
        <w:rPr>
          <w:rFonts w:hint="eastAsia" w:ascii="仿宋_GB2312" w:eastAsia="仿宋_GB2312"/>
          <w:sz w:val="32"/>
          <w:szCs w:val="32"/>
        </w:rPr>
        <w:t>人员工资及社保增加，支出增加</w:t>
      </w:r>
      <w:r>
        <w:rPr>
          <w:rFonts w:hint="eastAsia" w:ascii="仿宋_GB2312" w:hAnsi="仿宋_GB2312" w:eastAsia="仿宋_GB2312" w:cs="仿宋_GB2312"/>
          <w:kern w:val="0"/>
          <w:sz w:val="32"/>
          <w:szCs w:val="32"/>
        </w:rPr>
        <w:t>。</w:t>
      </w:r>
    </w:p>
    <w:p w14:paraId="58277D99">
      <w:pPr>
        <w:pStyle w:val="2"/>
        <w:ind w:left="0" w:leftChars="0" w:firstLine="640"/>
        <w:rPr>
          <w:rFonts w:hint="default" w:ascii="仿宋_GB2312" w:hAnsi="仿宋_GB2312" w:eastAsia="仿宋_GB2312" w:cs="仿宋_GB2312"/>
          <w:kern w:val="0"/>
          <w:sz w:val="32"/>
          <w:szCs w:val="32"/>
        </w:rPr>
      </w:pPr>
      <w:r>
        <w:rPr>
          <w:rFonts w:ascii="仿宋_GB2312" w:eastAsia="仿宋_GB2312"/>
          <w:sz w:val="32"/>
        </w:rPr>
        <w:t>2.社会保障和就业支出（类）行政事业单位养老支出（款）</w:t>
      </w:r>
      <w:r>
        <w:rPr>
          <w:rFonts w:ascii="仿宋_GB2312" w:hAnsi="仿宋_GB2312" w:eastAsia="仿宋_GB2312" w:cs="仿宋_GB2312"/>
          <w:kern w:val="0"/>
          <w:sz w:val="32"/>
          <w:szCs w:val="32"/>
        </w:rPr>
        <w:t>机关事业单位职业年金缴费支出（项）:</w:t>
      </w:r>
      <w:r>
        <w:rPr>
          <w:rFonts w:ascii="仿宋_GB2312" w:eastAsia="仿宋_GB2312"/>
          <w:sz w:val="32"/>
        </w:rPr>
        <w:t>支出决算数为0万元，比上年减少支出5.63万元，下降100%，主要原因是：本年单位无此项支出。</w:t>
      </w:r>
    </w:p>
    <w:p w14:paraId="7ED0184C">
      <w:pPr>
        <w:ind w:firstLine="640" w:firstLineChars="200"/>
        <w:outlineLvl w:val="1"/>
        <w:rPr>
          <w:rFonts w:ascii="黑体" w:hAnsi="黑体" w:eastAsia="黑体" w:cs="宋体"/>
          <w:bCs/>
          <w:kern w:val="0"/>
          <w:sz w:val="32"/>
          <w:szCs w:val="32"/>
        </w:rPr>
      </w:pPr>
      <w:bookmarkStart w:id="18" w:name="_Toc11146"/>
      <w:bookmarkStart w:id="19" w:name="_Toc30870"/>
      <w:r>
        <w:rPr>
          <w:rFonts w:hint="eastAsia" w:ascii="黑体" w:hAnsi="黑体" w:eastAsia="黑体" w:cs="宋体"/>
          <w:bCs/>
          <w:kern w:val="0"/>
          <w:sz w:val="32"/>
          <w:szCs w:val="32"/>
        </w:rPr>
        <w:t>六、一般公共预算财政拨款基本支出决算情况说明</w:t>
      </w:r>
      <w:bookmarkEnd w:id="18"/>
      <w:bookmarkEnd w:id="19"/>
    </w:p>
    <w:p w14:paraId="3639515B">
      <w:pPr>
        <w:ind w:firstLine="640" w:firstLineChars="200"/>
        <w:rPr>
          <w:rFonts w:ascii="仿宋_GB2312" w:eastAsia="仿宋_GB2312"/>
          <w:sz w:val="32"/>
          <w:szCs w:val="32"/>
        </w:rPr>
      </w:pPr>
      <w:r>
        <w:rPr>
          <w:rFonts w:hint="eastAsia" w:ascii="仿宋_GB2312" w:eastAsia="仿宋_GB2312"/>
          <w:sz w:val="32"/>
          <w:szCs w:val="32"/>
        </w:rPr>
        <w:t>2022年度一般公共预算财政拨款基本支出439.83万元，其中：</w:t>
      </w:r>
    </w:p>
    <w:p w14:paraId="6A6A1E2C">
      <w:pPr>
        <w:ind w:firstLine="640" w:firstLineChars="200"/>
        <w:rPr>
          <w:rFonts w:ascii="仿宋_GB2312" w:eastAsia="仿宋_GB2312"/>
          <w:sz w:val="32"/>
          <w:szCs w:val="32"/>
        </w:rPr>
      </w:pPr>
      <w:r>
        <w:rPr>
          <w:rFonts w:hint="eastAsia" w:ascii="仿宋_GB2312" w:eastAsia="仿宋_GB2312"/>
          <w:sz w:val="32"/>
          <w:szCs w:val="32"/>
        </w:rPr>
        <w:t>人员经费413.09万元，包括：基本工资、津贴补贴、奖金、绩效工资、机关事业单位基本养老保险缴费、职工基本医疗保险缴费、公务员医疗补助缴费、其他社会保障缴费、住房公积金、其他工资福利支出、退休费、生活补助。</w:t>
      </w:r>
    </w:p>
    <w:p w14:paraId="7B393766">
      <w:pPr>
        <w:ind w:firstLine="640" w:firstLineChars="200"/>
        <w:rPr>
          <w:rFonts w:ascii="仿宋_GB2312" w:eastAsia="仿宋_GB2312"/>
          <w:sz w:val="32"/>
          <w:szCs w:val="32"/>
        </w:rPr>
      </w:pPr>
      <w:r>
        <w:rPr>
          <w:rFonts w:hint="eastAsia" w:ascii="仿宋_GB2312" w:eastAsia="仿宋_GB2312"/>
          <w:sz w:val="32"/>
          <w:szCs w:val="32"/>
        </w:rPr>
        <w:t>公用经费26.74万元，包括：办公费、取暖费、物业管理费、工会经费。</w:t>
      </w:r>
    </w:p>
    <w:p w14:paraId="60E4EAAA">
      <w:pPr>
        <w:ind w:firstLine="640" w:firstLineChars="200"/>
        <w:outlineLvl w:val="1"/>
        <w:rPr>
          <w:rFonts w:ascii="黑体" w:hAnsi="黑体" w:eastAsia="黑体" w:cs="宋体"/>
          <w:bCs/>
          <w:kern w:val="0"/>
          <w:sz w:val="32"/>
          <w:szCs w:val="32"/>
        </w:rPr>
      </w:pPr>
      <w:bookmarkStart w:id="20" w:name="_Toc7190"/>
      <w:bookmarkStart w:id="21" w:name="_Toc21518"/>
      <w:r>
        <w:rPr>
          <w:rFonts w:hint="eastAsia" w:ascii="黑体" w:hAnsi="黑体" w:eastAsia="黑体" w:cs="宋体"/>
          <w:bCs/>
          <w:kern w:val="0"/>
          <w:sz w:val="32"/>
          <w:szCs w:val="32"/>
        </w:rPr>
        <w:t>七、财政拨款“三公”经费支出决算情况说明</w:t>
      </w:r>
      <w:bookmarkEnd w:id="20"/>
      <w:bookmarkEnd w:id="21"/>
    </w:p>
    <w:p w14:paraId="0751DAB8">
      <w:pPr>
        <w:ind w:firstLine="640" w:firstLineChars="200"/>
        <w:rPr>
          <w:rFonts w:ascii="仿宋_GB2312" w:eastAsia="仿宋_GB2312"/>
          <w:sz w:val="32"/>
          <w:szCs w:val="32"/>
        </w:rPr>
      </w:pPr>
      <w:r>
        <w:rPr>
          <w:rFonts w:hint="eastAsia" w:ascii="仿宋_GB2312" w:eastAsia="仿宋_GB2312"/>
          <w:sz w:val="32"/>
          <w:szCs w:val="32"/>
        </w:rPr>
        <w:t>2022年度财政拨款“三公”经费支出决算0.00万元，比上年增加0.00万元，增长0.00%，主要原因是没有三公经费。其中：因公出国（境）费支出0.00万元，占0.00%，比</w:t>
      </w:r>
      <w:bookmarkStart w:id="54" w:name="_GoBack"/>
      <w:bookmarkEnd w:id="54"/>
      <w:r>
        <w:rPr>
          <w:rFonts w:hint="eastAsia" w:ascii="仿宋_GB2312" w:eastAsia="仿宋_GB2312"/>
          <w:sz w:val="32"/>
          <w:szCs w:val="32"/>
        </w:rPr>
        <w:t>上年增加0.00万元，增长0.00%，主要原因是没有此项支出；公务用车购置及运行维护费支出0.00万元，占0.00%，比上年增加0.00万元，增长0.00%，主要原因是没有此项支出；公务接待费支出0.00万元，占0.00%，比上年增加0.00万元，增长0.00%，主要原因是：是没有此项支出。具体情况如下：</w:t>
      </w:r>
    </w:p>
    <w:p w14:paraId="6FDA2743">
      <w:pPr>
        <w:ind w:firstLine="640" w:firstLineChars="200"/>
        <w:rPr>
          <w:rFonts w:ascii="仿宋_GB2312" w:eastAsia="仿宋_GB2312"/>
          <w:sz w:val="32"/>
          <w:szCs w:val="32"/>
        </w:rPr>
      </w:pPr>
      <w:r>
        <w:rPr>
          <w:rFonts w:hint="eastAsia" w:ascii="仿宋_GB2312" w:eastAsia="仿宋_GB2312"/>
          <w:sz w:val="32"/>
          <w:szCs w:val="32"/>
        </w:rPr>
        <w:t>因公出国（境）费支出0.00万元，开支内容包括是没有此项支出。单位全年安排的因公出国（境）团组0个，因公出国（境）0人次。</w:t>
      </w:r>
    </w:p>
    <w:p w14:paraId="236FA29B">
      <w:pPr>
        <w:ind w:firstLine="640" w:firstLineChars="200"/>
        <w:rPr>
          <w:rFonts w:ascii="仿宋_GB2312" w:eastAsia="仿宋_GB2312"/>
          <w:sz w:val="32"/>
          <w:szCs w:val="32"/>
        </w:rPr>
      </w:pPr>
      <w:r>
        <w:rPr>
          <w:rFonts w:hint="eastAsia" w:ascii="仿宋_GB2312" w:eastAsia="仿宋_GB2312"/>
          <w:sz w:val="32"/>
          <w:szCs w:val="32"/>
        </w:rPr>
        <w:t>公务用车购置及运行维护费0.00万元，其中：公务用车购置费0.00万元，公务用车运行维护费0.00万元。公务用车运行维护费开支内容包括是没有此项支出。公务用车购置数0辆，公务用车保有量0辆。</w:t>
      </w:r>
    </w:p>
    <w:p w14:paraId="514820EF">
      <w:pPr>
        <w:ind w:firstLine="640" w:firstLineChars="200"/>
        <w:rPr>
          <w:rFonts w:ascii="仿宋_GB2312" w:eastAsia="仿宋_GB2312"/>
          <w:sz w:val="32"/>
          <w:szCs w:val="32"/>
        </w:rPr>
      </w:pPr>
      <w:r>
        <w:rPr>
          <w:rFonts w:hint="eastAsia" w:ascii="仿宋_GB2312" w:eastAsia="仿宋_GB2312"/>
          <w:sz w:val="32"/>
          <w:szCs w:val="32"/>
        </w:rPr>
        <w:t>公务接待费0.00万元，开支内容包括是没有此项支出。单位全年安排的国内公务接待0批次，0人次。</w:t>
      </w:r>
    </w:p>
    <w:p w14:paraId="721C635D">
      <w:pPr>
        <w:ind w:firstLine="640" w:firstLineChars="200"/>
        <w:rPr>
          <w:rFonts w:ascii="仿宋_GB2312" w:eastAsia="仿宋_GB2312"/>
          <w:sz w:val="32"/>
          <w:szCs w:val="32"/>
        </w:rPr>
      </w:pPr>
      <w:r>
        <w:rPr>
          <w:rFonts w:hint="eastAsia" w:ascii="仿宋_GB2312" w:eastAsia="仿宋_GB2312"/>
          <w:sz w:val="32"/>
          <w:szCs w:val="32"/>
        </w:rPr>
        <w:t>与全年预算数相比情况：“三公”经费支出全年预算数0.00万元，决算数0.00万元，预决算差异率0.00%，主要原因是：没有形成实际支出。</w:t>
      </w:r>
      <w:r>
        <w:rPr>
          <w:rFonts w:hint="eastAsia" w:ascii="仿宋_GB2312" w:hAnsi="宋体" w:eastAsia="仿宋_GB2312" w:cs="宋体"/>
          <w:kern w:val="0"/>
          <w:sz w:val="32"/>
          <w:szCs w:val="32"/>
        </w:rPr>
        <w:t>其中：因公出国（境）费全年预算数</w:t>
      </w:r>
      <w:r>
        <w:rPr>
          <w:rFonts w:hint="eastAsia" w:ascii="仿宋_GB2312" w:eastAsia="仿宋_GB2312"/>
          <w:sz w:val="32"/>
          <w:szCs w:val="32"/>
        </w:rPr>
        <w:t>0.00万元，决算数0.00万元，预决算差异率0.00%，主要原因是没有此项支出；</w:t>
      </w:r>
      <w:r>
        <w:rPr>
          <w:rFonts w:hint="eastAsia" w:ascii="仿宋_GB2312" w:hAnsi="宋体" w:eastAsia="仿宋_GB2312" w:cs="宋体"/>
          <w:kern w:val="0"/>
          <w:sz w:val="32"/>
          <w:szCs w:val="32"/>
        </w:rPr>
        <w:t>公务用车购置</w:t>
      </w:r>
      <w:r>
        <w:rPr>
          <w:rFonts w:hint="eastAsia" w:ascii="仿宋_GB2312" w:eastAsia="仿宋_GB2312"/>
          <w:sz w:val="32"/>
          <w:szCs w:val="32"/>
        </w:rPr>
        <w:t>费全年预算数0万元，决算数0.00万元，预决算差异率0.00%，主要原因是：是没有此项支出；</w:t>
      </w:r>
      <w:r>
        <w:rPr>
          <w:rFonts w:hint="eastAsia" w:ascii="仿宋_GB2312" w:hAnsi="宋体" w:eastAsia="仿宋_GB2312" w:cs="宋体"/>
          <w:kern w:val="0"/>
          <w:sz w:val="32"/>
          <w:szCs w:val="32"/>
        </w:rPr>
        <w:t>公务用车运行费全年</w:t>
      </w:r>
      <w:r>
        <w:rPr>
          <w:rFonts w:hint="eastAsia" w:ascii="仿宋_GB2312" w:eastAsia="仿宋_GB2312"/>
          <w:sz w:val="32"/>
          <w:szCs w:val="32"/>
        </w:rPr>
        <w:t>预算数0.00万元，决算数0.00万元，预决算差异率0.00%，主要原因是：没有形成实际支出；</w:t>
      </w:r>
      <w:r>
        <w:rPr>
          <w:rFonts w:hint="eastAsia" w:ascii="仿宋_GB2312" w:hAnsi="宋体" w:eastAsia="仿宋_GB2312" w:cs="宋体"/>
          <w:kern w:val="0"/>
          <w:sz w:val="32"/>
          <w:szCs w:val="32"/>
        </w:rPr>
        <w:t>公务接待费全年</w:t>
      </w:r>
      <w:r>
        <w:rPr>
          <w:rFonts w:hint="eastAsia" w:ascii="仿宋_GB2312" w:eastAsia="仿宋_GB2312"/>
          <w:sz w:val="32"/>
          <w:szCs w:val="32"/>
        </w:rPr>
        <w:t>预算数0.00万元，决算数0.00万元，预决算差异率0.00%，主要原因是：是没有此项支出。</w:t>
      </w:r>
    </w:p>
    <w:p w14:paraId="5E929957">
      <w:pPr>
        <w:ind w:firstLine="640" w:firstLineChars="200"/>
        <w:outlineLvl w:val="1"/>
        <w:rPr>
          <w:rFonts w:ascii="黑体" w:hAnsi="黑体" w:eastAsia="黑体" w:cs="宋体"/>
          <w:bCs/>
          <w:kern w:val="0"/>
          <w:sz w:val="32"/>
          <w:szCs w:val="32"/>
        </w:rPr>
      </w:pPr>
      <w:bookmarkStart w:id="22" w:name="_Toc7927"/>
      <w:bookmarkStart w:id="23" w:name="_Toc5810"/>
      <w:r>
        <w:rPr>
          <w:rFonts w:hint="eastAsia" w:ascii="黑体" w:hAnsi="黑体" w:eastAsia="黑体" w:cs="宋体"/>
          <w:bCs/>
          <w:kern w:val="0"/>
          <w:sz w:val="32"/>
          <w:szCs w:val="32"/>
        </w:rPr>
        <w:t>八、政府性基金预算财政拨款收入支出决算情况说明</w:t>
      </w:r>
      <w:bookmarkEnd w:id="22"/>
      <w:bookmarkEnd w:id="23"/>
    </w:p>
    <w:p w14:paraId="40103CE7">
      <w:pPr>
        <w:ind w:firstLine="640" w:firstLineChars="200"/>
        <w:rPr>
          <w:rFonts w:ascii="仿宋_GB2312" w:eastAsia="仿宋_GB2312"/>
          <w:sz w:val="32"/>
          <w:szCs w:val="32"/>
        </w:rPr>
      </w:pPr>
      <w:r>
        <w:rPr>
          <w:rFonts w:hint="eastAsia" w:ascii="仿宋_GB2312" w:eastAsia="仿宋_GB2312"/>
          <w:sz w:val="32"/>
          <w:szCs w:val="32"/>
        </w:rPr>
        <w:t>我单位本年度无政府性基金预算财政拨款收入、支出及结转和结余，政府性基金预算财政拨款收入支出决算表为空表。</w:t>
      </w:r>
    </w:p>
    <w:p w14:paraId="274F9C78">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九、国有资本经营预算财政拨款收入支出决算情况说明</w:t>
      </w:r>
    </w:p>
    <w:p w14:paraId="457F509D">
      <w:pPr>
        <w:ind w:firstLine="640" w:firstLineChars="200"/>
        <w:rPr>
          <w:rFonts w:ascii="仿宋_GB2312" w:eastAsia="仿宋_GB2312"/>
          <w:sz w:val="32"/>
          <w:szCs w:val="32"/>
        </w:rPr>
      </w:pPr>
      <w:r>
        <w:rPr>
          <w:rFonts w:hint="eastAsia" w:ascii="仿宋_GB2312" w:eastAsia="仿宋_GB2312"/>
          <w:sz w:val="32"/>
          <w:szCs w:val="32"/>
        </w:rPr>
        <w:t>我单位本年度无国有资本经营预算财政拨款收入、支出及结转和结余，国有资本经营预算财政拨款收入支出决算表为空表。</w:t>
      </w:r>
    </w:p>
    <w:p w14:paraId="06B7A18E">
      <w:pPr>
        <w:ind w:firstLine="640" w:firstLineChars="200"/>
        <w:outlineLvl w:val="1"/>
        <w:rPr>
          <w:rFonts w:ascii="黑体" w:hAnsi="黑体" w:eastAsia="黑体" w:cs="宋体"/>
          <w:bCs/>
          <w:kern w:val="0"/>
          <w:sz w:val="32"/>
          <w:szCs w:val="32"/>
        </w:rPr>
      </w:pPr>
      <w:bookmarkStart w:id="24" w:name="_Toc7314"/>
      <w:bookmarkStart w:id="25" w:name="_Toc1235"/>
      <w:r>
        <w:rPr>
          <w:rFonts w:hint="eastAsia" w:ascii="黑体" w:hAnsi="黑体" w:eastAsia="黑体" w:cs="宋体"/>
          <w:bCs/>
          <w:kern w:val="0"/>
          <w:sz w:val="32"/>
          <w:szCs w:val="32"/>
        </w:rPr>
        <w:t>十、其他重要事项的情况说明</w:t>
      </w:r>
      <w:bookmarkEnd w:id="24"/>
      <w:bookmarkEnd w:id="25"/>
    </w:p>
    <w:p w14:paraId="46D22121">
      <w:pPr>
        <w:ind w:firstLine="640" w:firstLineChars="200"/>
        <w:outlineLvl w:val="2"/>
        <w:rPr>
          <w:rFonts w:ascii="黑体" w:hAnsi="黑体" w:eastAsia="黑体"/>
          <w:sz w:val="32"/>
          <w:szCs w:val="32"/>
        </w:rPr>
      </w:pPr>
      <w:bookmarkStart w:id="26" w:name="_Toc13105"/>
      <w:bookmarkStart w:id="27" w:name="_Toc14519"/>
      <w:r>
        <w:rPr>
          <w:rFonts w:hint="eastAsia" w:ascii="黑体" w:hAnsi="黑体" w:eastAsia="黑体"/>
          <w:sz w:val="32"/>
          <w:szCs w:val="32"/>
        </w:rPr>
        <w:t>（一）机关运行经费支出情况</w:t>
      </w:r>
      <w:bookmarkEnd w:id="26"/>
      <w:bookmarkEnd w:id="27"/>
    </w:p>
    <w:p w14:paraId="6326A192">
      <w:pPr>
        <w:ind w:firstLine="640" w:firstLineChars="200"/>
        <w:rPr>
          <w:rFonts w:ascii="仿宋_GB2312" w:eastAsia="仿宋_GB2312"/>
          <w:sz w:val="32"/>
          <w:szCs w:val="32"/>
        </w:rPr>
      </w:pPr>
      <w:r>
        <w:rPr>
          <w:rFonts w:hint="eastAsia" w:ascii="仿宋_GB2312" w:eastAsia="仿宋_GB2312"/>
          <w:sz w:val="32"/>
          <w:szCs w:val="32"/>
        </w:rPr>
        <w:t>乌鲁木齐市第128小学公用经费26.74万元，比上年增加17.49万元，增长189.08%，主要原因是：本年支出往年安保服务费欠款。</w:t>
      </w:r>
    </w:p>
    <w:p w14:paraId="042B4708">
      <w:pPr>
        <w:ind w:firstLine="640" w:firstLineChars="200"/>
        <w:outlineLvl w:val="2"/>
        <w:rPr>
          <w:rFonts w:ascii="黑体" w:hAnsi="黑体" w:eastAsia="黑体"/>
          <w:sz w:val="32"/>
          <w:szCs w:val="32"/>
        </w:rPr>
      </w:pPr>
      <w:bookmarkStart w:id="28" w:name="_Toc227"/>
      <w:bookmarkStart w:id="29" w:name="_Toc26704"/>
      <w:r>
        <w:rPr>
          <w:rFonts w:hint="eastAsia" w:ascii="黑体" w:hAnsi="黑体" w:eastAsia="黑体"/>
          <w:sz w:val="32"/>
          <w:szCs w:val="32"/>
        </w:rPr>
        <w:t>（二）政府采购情况</w:t>
      </w:r>
      <w:bookmarkEnd w:id="28"/>
      <w:bookmarkEnd w:id="29"/>
    </w:p>
    <w:p w14:paraId="667A31B5">
      <w:pPr>
        <w:ind w:firstLine="640" w:firstLineChars="200"/>
        <w:rPr>
          <w:rFonts w:ascii="仿宋_GB2312" w:eastAsia="仿宋_GB2312"/>
          <w:sz w:val="32"/>
          <w:szCs w:val="32"/>
        </w:rPr>
      </w:pPr>
      <w:r>
        <w:rPr>
          <w:rFonts w:hint="eastAsia" w:ascii="仿宋_GB2312" w:eastAsia="仿宋_GB2312"/>
          <w:sz w:val="32"/>
          <w:szCs w:val="32"/>
        </w:rPr>
        <w:t>2022年度政府采购支出总额0.00万元，其中：政府采购货物支出0.00万元、政府采购工程支出0.00万元、政府采购服务支出0.00万元。</w:t>
      </w:r>
    </w:p>
    <w:p w14:paraId="23CA6DAA">
      <w:pPr>
        <w:ind w:firstLine="640" w:firstLineChars="200"/>
        <w:rPr>
          <w:rFonts w:ascii="仿宋_GB2312" w:eastAsia="仿宋_GB2312"/>
          <w:sz w:val="32"/>
          <w:szCs w:val="32"/>
        </w:rPr>
      </w:pPr>
      <w:r>
        <w:rPr>
          <w:rFonts w:hint="eastAsia" w:ascii="仿宋_GB2312" w:eastAsia="仿宋_GB2312"/>
          <w:sz w:val="32"/>
          <w:szCs w:val="32"/>
        </w:rPr>
        <w:t>授予中小企业合同金额0.00万元，占政府采购支出总额的0.00%，其中：授予小微企业合同金额0.00万元，占政府采购支出总额的0.00%。</w:t>
      </w:r>
    </w:p>
    <w:p w14:paraId="799EC73E">
      <w:pPr>
        <w:ind w:firstLine="640" w:firstLineChars="200"/>
        <w:outlineLvl w:val="2"/>
        <w:rPr>
          <w:rFonts w:ascii="黑体" w:hAnsi="黑体" w:eastAsia="黑体"/>
          <w:sz w:val="32"/>
          <w:szCs w:val="32"/>
        </w:rPr>
      </w:pPr>
      <w:bookmarkStart w:id="30" w:name="_Toc4591"/>
      <w:bookmarkStart w:id="31" w:name="_Toc8391"/>
      <w:r>
        <w:rPr>
          <w:rFonts w:hint="eastAsia" w:ascii="黑体" w:hAnsi="黑体" w:eastAsia="黑体"/>
          <w:sz w:val="32"/>
          <w:szCs w:val="32"/>
        </w:rPr>
        <w:t>（三）国有资产占用情况说明</w:t>
      </w:r>
      <w:bookmarkEnd w:id="30"/>
      <w:bookmarkEnd w:id="31"/>
    </w:p>
    <w:p w14:paraId="59C34CB7">
      <w:pPr>
        <w:ind w:firstLine="640" w:firstLineChars="200"/>
        <w:rPr>
          <w:rFonts w:ascii="仿宋_GB2312" w:eastAsia="仿宋_GB2312"/>
          <w:sz w:val="32"/>
          <w:szCs w:val="32"/>
        </w:rPr>
      </w:pPr>
      <w:r>
        <w:rPr>
          <w:rFonts w:hint="eastAsia" w:ascii="仿宋_GB2312" w:eastAsia="仿宋_GB2312"/>
          <w:sz w:val="32"/>
          <w:szCs w:val="32"/>
        </w:rPr>
        <w:t>截止2022年12月31日，固定资产原值0.00万元，房屋0.00平方米，价值0.00万元。车辆0辆，价值0.00万元，其中：副部（省）级及以上领导用车0辆、主要领导干部用车0辆、机要通信用车0辆、应急保障用车0辆、执法执勤用车0辆、特种专业技术用车0辆、离退休干部用车0辆、其他用车0辆，其他用车</w:t>
      </w:r>
      <w:r>
        <w:rPr>
          <w:rFonts w:ascii="仿宋_GB2312" w:eastAsia="仿宋_GB2312"/>
          <w:sz w:val="32"/>
          <w:szCs w:val="32"/>
        </w:rPr>
        <w:t>主要是：</w:t>
      </w:r>
      <w:r>
        <w:rPr>
          <w:rFonts w:hint="eastAsia" w:ascii="仿宋_GB2312" w:eastAsia="仿宋_GB2312"/>
          <w:sz w:val="32"/>
          <w:szCs w:val="32"/>
        </w:rPr>
        <w:t>我单位无其他用车；单价100万元以上设备（不含车辆）0台。</w:t>
      </w:r>
    </w:p>
    <w:p w14:paraId="65601A45">
      <w:pPr>
        <w:ind w:firstLine="640" w:firstLineChars="200"/>
        <w:outlineLvl w:val="1"/>
        <w:rPr>
          <w:rFonts w:ascii="黑体" w:hAnsi="黑体" w:eastAsia="黑体" w:cs="宋体"/>
          <w:bCs/>
          <w:kern w:val="0"/>
          <w:sz w:val="32"/>
          <w:szCs w:val="32"/>
        </w:rPr>
      </w:pPr>
      <w:bookmarkStart w:id="32" w:name="_Toc435"/>
      <w:bookmarkStart w:id="33" w:name="_Toc11283"/>
      <w:r>
        <w:rPr>
          <w:rFonts w:hint="eastAsia" w:ascii="黑体" w:hAnsi="黑体" w:eastAsia="黑体" w:cs="宋体"/>
          <w:bCs/>
          <w:kern w:val="0"/>
          <w:sz w:val="32"/>
          <w:szCs w:val="32"/>
        </w:rPr>
        <w:t>十一、预算绩效的情况说明</w:t>
      </w:r>
      <w:bookmarkEnd w:id="32"/>
      <w:bookmarkEnd w:id="33"/>
    </w:p>
    <w:p w14:paraId="3FE3D3EC">
      <w:pPr>
        <w:ind w:firstLine="640" w:firstLineChars="200"/>
        <w:rPr>
          <w:rFonts w:ascii="黑体" w:hAnsi="黑体" w:eastAsia="黑体"/>
          <w:sz w:val="32"/>
          <w:szCs w:val="32"/>
        </w:rPr>
      </w:pPr>
      <w:r>
        <w:rPr>
          <w:rFonts w:hint="eastAsia" w:ascii="仿宋_GB2312" w:eastAsia="仿宋_GB2312"/>
          <w:sz w:val="32"/>
          <w:szCs w:val="32"/>
        </w:rPr>
        <w:t>根据预算绩效管理要求，我单位2022年度开展预算绩效评价项目0个，全年预算数0万元，全年执行数0万元。预算绩效管理取得的成效： 我单位无预算绩效管理的项目。发现问题及原因：我单位无预算绩效管理的项目。下一步</w:t>
      </w:r>
      <w:bookmarkStart w:id="34" w:name="_Toc24143"/>
      <w:bookmarkStart w:id="35" w:name="_Toc3250"/>
      <w:r>
        <w:rPr>
          <w:rFonts w:hint="eastAsia" w:ascii="仿宋_GB2312" w:eastAsia="仿宋_GB2312"/>
          <w:sz w:val="32"/>
          <w:szCs w:val="32"/>
        </w:rPr>
        <w:t>改进措施：我单位无预算绩效管理的项目。</w:t>
      </w:r>
      <w:r>
        <w:rPr>
          <w:rFonts w:hint="eastAsia" w:ascii="黑体" w:hAnsi="黑体" w:eastAsia="黑体"/>
          <w:sz w:val="32"/>
          <w:szCs w:val="32"/>
        </w:rPr>
        <w:br w:type="page"/>
      </w:r>
      <w:r>
        <w:rPr>
          <w:rFonts w:hint="eastAsia" w:ascii="黑体" w:hAnsi="黑体" w:eastAsia="黑体"/>
          <w:sz w:val="32"/>
          <w:szCs w:val="32"/>
        </w:rPr>
        <w:t>第三部分 专业名词解释</w:t>
      </w:r>
      <w:bookmarkEnd w:id="34"/>
      <w:bookmarkEnd w:id="35"/>
    </w:p>
    <w:p w14:paraId="41AE60CA">
      <w:pPr>
        <w:autoSpaceDE w:val="0"/>
        <w:autoSpaceDN w:val="0"/>
        <w:ind w:firstLine="640" w:firstLineChars="200"/>
        <w:rPr>
          <w:rFonts w:ascii="仿宋_GB2312" w:eastAsia="仿宋_GB2312"/>
          <w:sz w:val="32"/>
          <w:szCs w:val="32"/>
        </w:rPr>
      </w:pPr>
      <w:r>
        <w:rPr>
          <w:rFonts w:hint="eastAsia" w:ascii="仿宋_GB2312" w:eastAsia="仿宋_GB2312"/>
          <w:sz w:val="32"/>
          <w:szCs w:val="32"/>
        </w:rPr>
        <w:t>财政拨款收入：指同级财政当年拨付的资金。</w:t>
      </w:r>
    </w:p>
    <w:p w14:paraId="7C164BFB">
      <w:pPr>
        <w:autoSpaceDE w:val="0"/>
        <w:autoSpaceDN w:val="0"/>
        <w:ind w:firstLine="640" w:firstLineChars="200"/>
        <w:rPr>
          <w:rFonts w:ascii="仿宋_GB2312" w:eastAsia="仿宋_GB2312"/>
          <w:sz w:val="32"/>
          <w:szCs w:val="32"/>
        </w:rPr>
      </w:pPr>
      <w:r>
        <w:rPr>
          <w:rFonts w:hint="eastAsia" w:ascii="仿宋_GB2312" w:eastAsia="仿宋_GB2312"/>
          <w:sz w:val="32"/>
          <w:szCs w:val="32"/>
        </w:rPr>
        <w:t>上级补助收入：指事业单位从主管部门和上级单位取得的非财政补助收入。</w:t>
      </w:r>
    </w:p>
    <w:p w14:paraId="3484087A">
      <w:pPr>
        <w:autoSpaceDE w:val="0"/>
        <w:autoSpaceDN w:val="0"/>
        <w:ind w:firstLine="640" w:firstLineChars="200"/>
        <w:rPr>
          <w:rFonts w:ascii="仿宋_GB2312" w:eastAsia="仿宋_GB2312"/>
          <w:sz w:val="32"/>
          <w:szCs w:val="32"/>
        </w:rPr>
      </w:pPr>
      <w:r>
        <w:rPr>
          <w:rFonts w:hint="eastAsia" w:ascii="仿宋_GB2312" w:eastAsia="仿宋_GB2312"/>
          <w:sz w:val="32"/>
          <w:szCs w:val="32"/>
        </w:rPr>
        <w:t>事业收入：指事业单位开展专业业务活动及其辅助活动所取得的收入。</w:t>
      </w:r>
    </w:p>
    <w:p w14:paraId="3AA83895">
      <w:pPr>
        <w:autoSpaceDE w:val="0"/>
        <w:autoSpaceDN w:val="0"/>
        <w:ind w:firstLine="640" w:firstLineChars="200"/>
        <w:rPr>
          <w:rFonts w:ascii="仿宋_GB2312" w:eastAsia="仿宋_GB2312"/>
          <w:sz w:val="32"/>
          <w:szCs w:val="32"/>
        </w:rPr>
      </w:pPr>
      <w:r>
        <w:rPr>
          <w:rFonts w:hint="eastAsia" w:ascii="仿宋_GB2312" w:eastAsia="仿宋_GB2312"/>
          <w:sz w:val="32"/>
          <w:szCs w:val="32"/>
        </w:rPr>
        <w:t>经营收入：指事业单位在专业业务活动及其辅助活动之外开展非独立核算经营活动取得的收入。</w:t>
      </w:r>
    </w:p>
    <w:p w14:paraId="6057ACBC">
      <w:pPr>
        <w:autoSpaceDE w:val="0"/>
        <w:autoSpaceDN w:val="0"/>
        <w:ind w:firstLine="640" w:firstLineChars="200"/>
        <w:rPr>
          <w:rFonts w:ascii="仿宋_GB2312" w:eastAsia="仿宋_GB2312"/>
          <w:sz w:val="32"/>
          <w:szCs w:val="32"/>
        </w:rPr>
      </w:pPr>
      <w:r>
        <w:rPr>
          <w:rFonts w:hint="eastAsia" w:ascii="仿宋_GB2312" w:eastAsia="仿宋_GB2312"/>
          <w:sz w:val="32"/>
          <w:szCs w:val="32"/>
        </w:rPr>
        <w:t>附属单位上缴收入：指事业单位附属的独立核算单位按有关规定上缴的收入。</w:t>
      </w:r>
    </w:p>
    <w:p w14:paraId="38A493D5">
      <w:pPr>
        <w:autoSpaceDE w:val="0"/>
        <w:autoSpaceDN w:val="0"/>
        <w:ind w:firstLine="640" w:firstLineChars="200"/>
        <w:rPr>
          <w:rFonts w:ascii="仿宋_GB2312" w:eastAsia="仿宋_GB2312"/>
          <w:sz w:val="32"/>
          <w:szCs w:val="32"/>
        </w:rPr>
      </w:pPr>
      <w:r>
        <w:rPr>
          <w:rFonts w:hint="eastAsia" w:ascii="仿宋_GB2312" w:eastAsia="仿宋_GB2312"/>
          <w:sz w:val="32"/>
          <w:szCs w:val="32"/>
        </w:rPr>
        <w:t>其他收入：指除上述“财政拨款收入”、“事业收入”、“经营收入”、“附属单位上缴收入”等之外取得的收入。</w:t>
      </w:r>
    </w:p>
    <w:p w14:paraId="7C7DA676">
      <w:pPr>
        <w:autoSpaceDE w:val="0"/>
        <w:autoSpaceDN w:val="0"/>
        <w:ind w:firstLine="640" w:firstLineChars="200"/>
        <w:rPr>
          <w:rFonts w:ascii="仿宋_GB2312" w:eastAsia="仿宋_GB2312"/>
          <w:sz w:val="32"/>
          <w:szCs w:val="32"/>
        </w:rPr>
      </w:pPr>
      <w:r>
        <w:rPr>
          <w:rFonts w:hint="eastAsia" w:ascii="仿宋_GB2312" w:eastAsia="仿宋_GB2312"/>
          <w:sz w:val="32"/>
          <w:szCs w:val="32"/>
        </w:rPr>
        <w:t>年初结转和结余：指以前年度支出预算因客观条件变化未执行完毕、结转到本年度按有关规定继续使用的资金，既包括财政拨款结转和结余，也包括事业收入、经营收入、其他收入的结转和结余。</w:t>
      </w:r>
    </w:p>
    <w:p w14:paraId="03C1788B">
      <w:pPr>
        <w:autoSpaceDE w:val="0"/>
        <w:autoSpaceDN w:val="0"/>
        <w:ind w:firstLine="640" w:firstLineChars="200"/>
        <w:rPr>
          <w:rFonts w:ascii="仿宋_GB2312" w:eastAsia="仿宋_GB2312"/>
          <w:sz w:val="32"/>
          <w:szCs w:val="32"/>
        </w:rPr>
      </w:pPr>
      <w:r>
        <w:rPr>
          <w:rFonts w:hint="eastAsia" w:ascii="仿宋_GB2312" w:eastAsia="仿宋_GB2312"/>
          <w:sz w:val="32"/>
          <w:szCs w:val="32"/>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14:paraId="7DC9445A">
      <w:pPr>
        <w:autoSpaceDE w:val="0"/>
        <w:autoSpaceDN w:val="0"/>
        <w:ind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14:paraId="4C2C6FC6">
      <w:pPr>
        <w:autoSpaceDE w:val="0"/>
        <w:autoSpaceDN w:val="0"/>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14:paraId="3C90B60C">
      <w:pPr>
        <w:autoSpaceDE w:val="0"/>
        <w:autoSpaceDN w:val="0"/>
        <w:ind w:firstLine="640" w:firstLineChars="20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14:paraId="100CE7FA">
      <w:pPr>
        <w:autoSpaceDE w:val="0"/>
        <w:autoSpaceDN w:val="0"/>
        <w:ind w:firstLine="640" w:firstLineChars="200"/>
        <w:rPr>
          <w:rFonts w:ascii="仿宋_GB2312" w:eastAsia="仿宋_GB2312"/>
          <w:sz w:val="32"/>
          <w:szCs w:val="32"/>
        </w:rPr>
      </w:pPr>
      <w:r>
        <w:rPr>
          <w:rFonts w:hint="eastAsia" w:ascii="仿宋_GB2312" w:eastAsia="仿宋_GB2312"/>
          <w:sz w:val="32"/>
          <w:szCs w:val="32"/>
        </w:rPr>
        <w:t>对附属单位补助支出：指事业单位发生的用非财政预算资金对附属单位的补助支出。</w:t>
      </w:r>
    </w:p>
    <w:p w14:paraId="5663852A">
      <w:pPr>
        <w:autoSpaceDE w:val="0"/>
        <w:autoSpaceDN w:val="0"/>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366B2A3">
      <w:pPr>
        <w:ind w:firstLine="640" w:firstLineChars="200"/>
        <w:rPr>
          <w:rFonts w:ascii="仿宋_GB2312" w:eastAsia="仿宋_GB2312"/>
          <w:sz w:val="32"/>
          <w:szCs w:val="32"/>
        </w:rPr>
      </w:pPr>
      <w:r>
        <w:rPr>
          <w:rFonts w:hint="eastAsia" w:ascii="仿宋_GB2312" w:eastAsia="仿宋_GB2312"/>
          <w:sz w:val="32"/>
          <w:szCs w:val="32"/>
        </w:rPr>
        <w:t>机关运行经费：行政单位和参照公务员法管理的事业单位财政拨款基本支出中的公用经费支出。</w:t>
      </w:r>
    </w:p>
    <w:p w14:paraId="42B4B397">
      <w:pPr>
        <w:ind w:firstLine="640" w:firstLineChars="200"/>
        <w:jc w:val="center"/>
        <w:outlineLvl w:val="0"/>
        <w:rPr>
          <w:rFonts w:ascii="黑体" w:hAnsi="黑体" w:eastAsia="黑体"/>
          <w:sz w:val="32"/>
          <w:szCs w:val="32"/>
        </w:rPr>
      </w:pPr>
      <w:bookmarkStart w:id="36" w:name="_Toc22784"/>
      <w:bookmarkStart w:id="37" w:name="_Toc28903"/>
      <w:r>
        <w:rPr>
          <w:rFonts w:hint="eastAsia" w:ascii="黑体" w:hAnsi="黑体" w:eastAsia="黑体"/>
          <w:sz w:val="32"/>
          <w:szCs w:val="32"/>
        </w:rPr>
        <w:br w:type="page"/>
      </w:r>
      <w:r>
        <w:rPr>
          <w:rFonts w:hint="eastAsia" w:ascii="黑体" w:hAnsi="黑体" w:eastAsia="黑体"/>
          <w:sz w:val="32"/>
          <w:szCs w:val="32"/>
        </w:rPr>
        <w:t>第四部分 部门决算报表（见附表）</w:t>
      </w:r>
      <w:bookmarkEnd w:id="36"/>
      <w:bookmarkEnd w:id="37"/>
    </w:p>
    <w:p w14:paraId="1C5ED8D4">
      <w:pPr>
        <w:ind w:firstLine="640" w:firstLineChars="200"/>
        <w:outlineLvl w:val="1"/>
        <w:rPr>
          <w:rFonts w:ascii="黑体" w:hAnsi="黑体" w:eastAsia="黑体" w:cs="宋体"/>
          <w:bCs/>
          <w:kern w:val="0"/>
          <w:sz w:val="32"/>
          <w:szCs w:val="32"/>
        </w:rPr>
      </w:pPr>
      <w:bookmarkStart w:id="38" w:name="_Toc2183"/>
      <w:bookmarkStart w:id="39" w:name="_Toc6062"/>
      <w:r>
        <w:rPr>
          <w:rFonts w:hint="eastAsia" w:ascii="黑体" w:hAnsi="黑体" w:eastAsia="黑体" w:cs="宋体"/>
          <w:bCs/>
          <w:kern w:val="0"/>
          <w:sz w:val="32"/>
          <w:szCs w:val="32"/>
        </w:rPr>
        <w:t>一、《收入支出决算总表》</w:t>
      </w:r>
      <w:bookmarkEnd w:id="38"/>
      <w:bookmarkEnd w:id="39"/>
    </w:p>
    <w:p w14:paraId="3606198F">
      <w:pPr>
        <w:ind w:firstLine="640" w:firstLineChars="200"/>
        <w:outlineLvl w:val="1"/>
        <w:rPr>
          <w:rFonts w:ascii="黑体" w:hAnsi="黑体" w:eastAsia="黑体" w:cs="宋体"/>
          <w:bCs/>
          <w:kern w:val="0"/>
          <w:sz w:val="32"/>
          <w:szCs w:val="32"/>
        </w:rPr>
      </w:pPr>
      <w:bookmarkStart w:id="40" w:name="_Toc30364"/>
      <w:bookmarkStart w:id="41" w:name="_Toc24532"/>
      <w:r>
        <w:rPr>
          <w:rFonts w:hint="eastAsia" w:ascii="黑体" w:hAnsi="黑体" w:eastAsia="黑体" w:cs="宋体"/>
          <w:bCs/>
          <w:kern w:val="0"/>
          <w:sz w:val="32"/>
          <w:szCs w:val="32"/>
        </w:rPr>
        <w:t>二、《收入决算表》</w:t>
      </w:r>
      <w:bookmarkEnd w:id="40"/>
      <w:bookmarkEnd w:id="41"/>
    </w:p>
    <w:p w14:paraId="4C1D6CB3">
      <w:pPr>
        <w:ind w:firstLine="640" w:firstLineChars="200"/>
        <w:outlineLvl w:val="1"/>
        <w:rPr>
          <w:rFonts w:ascii="黑体" w:hAnsi="黑体" w:eastAsia="黑体" w:cs="宋体"/>
          <w:bCs/>
          <w:kern w:val="0"/>
          <w:sz w:val="32"/>
          <w:szCs w:val="32"/>
        </w:rPr>
      </w:pPr>
      <w:bookmarkStart w:id="42" w:name="_Toc32434"/>
      <w:bookmarkStart w:id="43" w:name="_Toc21304"/>
      <w:r>
        <w:rPr>
          <w:rFonts w:hint="eastAsia" w:ascii="黑体" w:hAnsi="黑体" w:eastAsia="黑体" w:cs="宋体"/>
          <w:bCs/>
          <w:kern w:val="0"/>
          <w:sz w:val="32"/>
          <w:szCs w:val="32"/>
        </w:rPr>
        <w:t>三、《支出决算表》</w:t>
      </w:r>
      <w:bookmarkEnd w:id="42"/>
      <w:bookmarkEnd w:id="43"/>
    </w:p>
    <w:p w14:paraId="2EA25D51">
      <w:pPr>
        <w:ind w:firstLine="640" w:firstLineChars="200"/>
        <w:outlineLvl w:val="1"/>
        <w:rPr>
          <w:rFonts w:ascii="黑体" w:hAnsi="黑体" w:eastAsia="黑体" w:cs="宋体"/>
          <w:bCs/>
          <w:kern w:val="0"/>
          <w:sz w:val="32"/>
          <w:szCs w:val="32"/>
        </w:rPr>
      </w:pPr>
      <w:bookmarkStart w:id="44" w:name="_Toc28786"/>
      <w:bookmarkStart w:id="45" w:name="_Toc14238"/>
      <w:r>
        <w:rPr>
          <w:rFonts w:hint="eastAsia" w:ascii="黑体" w:hAnsi="黑体" w:eastAsia="黑体" w:cs="宋体"/>
          <w:bCs/>
          <w:kern w:val="0"/>
          <w:sz w:val="32"/>
          <w:szCs w:val="32"/>
        </w:rPr>
        <w:t>四、《财政拨款收入支出决算总表》</w:t>
      </w:r>
      <w:bookmarkEnd w:id="44"/>
      <w:bookmarkEnd w:id="45"/>
    </w:p>
    <w:p w14:paraId="2A072820">
      <w:pPr>
        <w:ind w:firstLine="640" w:firstLineChars="200"/>
        <w:outlineLvl w:val="1"/>
        <w:rPr>
          <w:rFonts w:ascii="黑体" w:hAnsi="黑体" w:eastAsia="黑体" w:cs="宋体"/>
          <w:bCs/>
          <w:kern w:val="0"/>
          <w:sz w:val="32"/>
          <w:szCs w:val="32"/>
        </w:rPr>
      </w:pPr>
      <w:bookmarkStart w:id="46" w:name="_Toc14869"/>
      <w:bookmarkStart w:id="47" w:name="_Toc10347"/>
      <w:r>
        <w:rPr>
          <w:rFonts w:hint="eastAsia" w:ascii="黑体" w:hAnsi="黑体" w:eastAsia="黑体" w:cs="宋体"/>
          <w:bCs/>
          <w:kern w:val="0"/>
          <w:sz w:val="32"/>
          <w:szCs w:val="32"/>
        </w:rPr>
        <w:t>五、《一般公共预算财政拨款支出决算表》</w:t>
      </w:r>
      <w:bookmarkEnd w:id="46"/>
      <w:bookmarkEnd w:id="47"/>
    </w:p>
    <w:p w14:paraId="6F9D366E">
      <w:pPr>
        <w:ind w:firstLine="640" w:firstLineChars="200"/>
        <w:outlineLvl w:val="1"/>
        <w:rPr>
          <w:rFonts w:ascii="黑体" w:hAnsi="黑体" w:eastAsia="黑体" w:cs="宋体"/>
          <w:bCs/>
          <w:kern w:val="0"/>
          <w:sz w:val="32"/>
          <w:szCs w:val="32"/>
        </w:rPr>
      </w:pPr>
      <w:bookmarkStart w:id="48" w:name="_Toc8884"/>
      <w:bookmarkStart w:id="49" w:name="_Toc5626"/>
      <w:r>
        <w:rPr>
          <w:rFonts w:hint="eastAsia" w:ascii="黑体" w:hAnsi="黑体" w:eastAsia="黑体" w:cs="宋体"/>
          <w:bCs/>
          <w:kern w:val="0"/>
          <w:sz w:val="32"/>
          <w:szCs w:val="32"/>
        </w:rPr>
        <w:t>六、《一般公共预算财政拨款基本支出决算表》</w:t>
      </w:r>
      <w:bookmarkEnd w:id="48"/>
      <w:bookmarkEnd w:id="49"/>
    </w:p>
    <w:p w14:paraId="6245DB88">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七、</w:t>
      </w:r>
      <w:bookmarkStart w:id="50" w:name="_Toc29106"/>
      <w:bookmarkStart w:id="51" w:name="_Toc32663"/>
      <w:r>
        <w:rPr>
          <w:rFonts w:hint="eastAsia" w:ascii="黑体" w:hAnsi="黑体" w:eastAsia="黑体" w:cs="宋体"/>
          <w:bCs/>
          <w:kern w:val="0"/>
          <w:sz w:val="32"/>
          <w:szCs w:val="32"/>
        </w:rPr>
        <w:t>《财政拨款“三公”经费支出决算表》</w:t>
      </w:r>
      <w:bookmarkEnd w:id="50"/>
      <w:bookmarkEnd w:id="51"/>
    </w:p>
    <w:p w14:paraId="5BA6DECB">
      <w:pPr>
        <w:ind w:firstLine="640" w:firstLineChars="200"/>
        <w:outlineLvl w:val="1"/>
        <w:rPr>
          <w:rFonts w:ascii="黑体" w:hAnsi="黑体" w:eastAsia="黑体" w:cs="宋体"/>
          <w:bCs/>
          <w:kern w:val="0"/>
          <w:sz w:val="32"/>
          <w:szCs w:val="32"/>
        </w:rPr>
      </w:pPr>
      <w:bookmarkStart w:id="52" w:name="_Toc7643"/>
      <w:bookmarkStart w:id="53" w:name="_Toc5453"/>
      <w:r>
        <w:rPr>
          <w:rFonts w:hint="eastAsia" w:ascii="黑体" w:hAnsi="黑体" w:eastAsia="黑体" w:cs="宋体"/>
          <w:bCs/>
          <w:kern w:val="0"/>
          <w:sz w:val="32"/>
          <w:szCs w:val="32"/>
        </w:rPr>
        <w:t>八、《政府性基金预算财政拨款收入支出决算表》</w:t>
      </w:r>
      <w:bookmarkEnd w:id="52"/>
      <w:bookmarkEnd w:id="53"/>
    </w:p>
    <w:p w14:paraId="7234550D">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九、《国有资本经营预算财政拨款收入支出决算表》</w:t>
      </w:r>
    </w:p>
    <w:p w14:paraId="0D16FF0D">
      <w:pPr>
        <w:ind w:firstLine="640" w:firstLineChars="200"/>
        <w:outlineLvl w:val="1"/>
        <w:rPr>
          <w:rFonts w:ascii="黑体" w:hAnsi="黑体" w:eastAsia="黑体" w:cs="宋体"/>
          <w:bCs/>
          <w:kern w:val="0"/>
          <w:sz w:val="32"/>
          <w:szCs w:val="32"/>
        </w:rPr>
      </w:pPr>
    </w:p>
    <w:p w14:paraId="1784521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2CCC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673E7">
                          <w:pPr>
                            <w:pStyle w:val="5"/>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75673E7">
                    <w:pPr>
                      <w:pStyle w:val="5"/>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NjI0YmUxMTQ5YjgwZDY4NGNiMDU5NThhZDMxODAifQ=="/>
    <w:docVar w:name="KSO_WPS_MARK_KEY" w:val="fab55a0c-cc6f-425b-8556-fec6a8ac4ef9"/>
  </w:docVars>
  <w:rsids>
    <w:rsidRoot w:val="4F19341D"/>
    <w:rsid w:val="007B7349"/>
    <w:rsid w:val="00964685"/>
    <w:rsid w:val="00AD5586"/>
    <w:rsid w:val="02A83A07"/>
    <w:rsid w:val="17732C32"/>
    <w:rsid w:val="248F51C1"/>
    <w:rsid w:val="28D10C1C"/>
    <w:rsid w:val="29C136CD"/>
    <w:rsid w:val="38EE6F32"/>
    <w:rsid w:val="3CA32DC2"/>
    <w:rsid w:val="3CAF1E41"/>
    <w:rsid w:val="4F19341D"/>
    <w:rsid w:val="4FF45D7E"/>
    <w:rsid w:val="53BF2A68"/>
    <w:rsid w:val="67CC30B2"/>
    <w:rsid w:val="6A103D3C"/>
    <w:rsid w:val="6D981B57"/>
    <w:rsid w:val="6FBE3B1A"/>
    <w:rsid w:val="73FD0C22"/>
    <w:rsid w:val="7402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int="eastAsi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customStyle="1" w:styleId="11">
    <w:name w:val="页眉 字符"/>
    <w:basedOn w:val="10"/>
    <w:link w:val="6"/>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Bing Lan Electronic Technology</Company>
  <Pages>14</Pages>
  <Words>4409</Words>
  <Characters>4909</Characters>
  <Lines>41</Lines>
  <Paragraphs>11</Paragraphs>
  <TotalTime>0</TotalTime>
  <ScaleCrop>false</ScaleCrop>
  <LinksUpToDate>false</LinksUpToDate>
  <CharactersWithSpaces>4925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2023-08-21T09:17:00Z</dcterms:created>
  <dc:creator>大龙龙</dc:creator>
  <cp:lastModifiedBy>尘尘郁夏伊</cp:lastModifiedBy>
  <dcterms:modified xsi:type="dcterms:W3CDTF">2025-11-22T08:51:55Z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EB9ACD5379D244EE8BC5821207684D5E</vt:lpwstr>
  </property>
  <property fmtid="{D5CDD505-2E9C-101B-9397-08002B2CF9AE}" pid="4" name="KSOTemplateDocerSaveRecord">
    <vt:lpwstr>eyJoZGlkIjoiMjAzNDdlNDlhZGU5ZmQ3N2VlZjBjYzQxYzE2NWRiMzMiLCJ1c2VySWQiOiI1OTk2MDA3MzEifQ==</vt:lpwstr>
  </property>
</Properties>
</file>