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7D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ind w:leftChars="0"/>
        <w:textAlignment w:val="auto"/>
        <w:rPr>
          <w:rFonts w:hint="eastAsia" w:ascii="黑体" w:hAnsi="黑体" w:eastAsia="黑体" w:cs="黑体"/>
          <w:spacing w:val="-1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C11C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不合格检验项目小知识</w:t>
      </w:r>
    </w:p>
    <w:p w14:paraId="5CB47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  <w:t>噻虫胺</w:t>
      </w:r>
    </w:p>
    <w:p w14:paraId="4F0B6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噻虫胺属新烟碱类杀虫剂，具有内吸性、触杀和胃毒作用，</w:t>
      </w:r>
      <w:r>
        <w:rPr>
          <w:rFonts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 w:eastAsia="仿宋_GB2312"/>
          <w:sz w:val="32"/>
          <w:szCs w:val="32"/>
        </w:rPr>
        <w:t>蚜虫、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斑潜蝇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有较好防效</w:t>
      </w:r>
      <w:r>
        <w:rPr>
          <w:rFonts w:hint="eastAsia" w:ascii="Times New Roman" w:hAnsi="Times New Roman" w:eastAsia="仿宋_GB2312"/>
          <w:sz w:val="32"/>
          <w:szCs w:val="32"/>
        </w:rPr>
        <w:t>。少量的残留不会引起人体急性中毒，但长期食用噻虫胺超标的食品，对人体健康可能有一定影响。</w:t>
      </w:r>
      <w:r>
        <w:rPr>
          <w:rFonts w:ascii="Times New Roman" w:hAnsi="Times New Roman" w:eastAsia="仿宋_GB2312"/>
          <w:sz w:val="32"/>
          <w:szCs w:val="32"/>
        </w:rPr>
        <w:t>《食品安全国家标准食品中农药最大残留限量》（GB 2763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2021</w:t>
      </w:r>
      <w:r>
        <w:rPr>
          <w:rFonts w:ascii="Times New Roman" w:hAnsi="Times New Roman" w:eastAsia="仿宋_GB2312"/>
          <w:sz w:val="32"/>
          <w:szCs w:val="32"/>
        </w:rPr>
        <w:t>）中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均</w:t>
      </w:r>
      <w:r>
        <w:rPr>
          <w:rFonts w:ascii="Times New Roman" w:hAnsi="Times New Roman" w:eastAsia="仿宋_GB2312"/>
          <w:sz w:val="32"/>
          <w:szCs w:val="32"/>
        </w:rPr>
        <w:t>规定，</w:t>
      </w:r>
      <w:r>
        <w:rPr>
          <w:rFonts w:hint="eastAsia" w:ascii="Times New Roman" w:hAnsi="Times New Roman" w:eastAsia="仿宋_GB2312"/>
          <w:sz w:val="32"/>
          <w:szCs w:val="32"/>
        </w:rPr>
        <w:t>噻虫胺在豆类蔬菜中</w:t>
      </w:r>
      <w:r>
        <w:rPr>
          <w:rFonts w:ascii="Times New Roman" w:hAnsi="Times New Roman" w:eastAsia="仿宋_GB2312"/>
          <w:sz w:val="32"/>
          <w:szCs w:val="32"/>
        </w:rPr>
        <w:t>的最大残留限量</w:t>
      </w:r>
      <w:r>
        <w:rPr>
          <w:rFonts w:hint="eastAsia" w:ascii="Times New Roman" w:hAnsi="Times New Roman" w:eastAsia="仿宋_GB2312"/>
          <w:sz w:val="32"/>
          <w:szCs w:val="32"/>
        </w:rPr>
        <w:t>值</w:t>
      </w:r>
      <w:r>
        <w:rPr>
          <w:rFonts w:ascii="Times New Roman" w:hAnsi="Times New Roman" w:eastAsia="仿宋_GB2312"/>
          <w:sz w:val="32"/>
          <w:szCs w:val="32"/>
        </w:rPr>
        <w:t>为0.</w:t>
      </w:r>
      <w:r>
        <w:rPr>
          <w:rFonts w:hint="eastAsia" w:ascii="Times New Roman" w:hAnsi="Times New Roman" w:eastAsia="仿宋_GB2312"/>
          <w:sz w:val="32"/>
          <w:szCs w:val="32"/>
        </w:rPr>
        <w:t>01</w:t>
      </w:r>
      <w:r>
        <w:rPr>
          <w:rFonts w:ascii="Times New Roman" w:hAnsi="Times New Roman" w:eastAsia="仿宋_GB2312"/>
          <w:sz w:val="32"/>
          <w:szCs w:val="32"/>
        </w:rPr>
        <w:t>mg/kg。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姜中噻虫胺的最大残留限量值为0.2mg/kg，辣椒中噻虫胺的最大残留限量值为0.05mg/kg。姜</w:t>
      </w:r>
      <w:r>
        <w:rPr>
          <w:rFonts w:hint="eastAsia" w:ascii="Times New Roman" w:hAnsi="Times New Roman" w:eastAsia="仿宋_GB2312"/>
          <w:sz w:val="32"/>
          <w:szCs w:val="32"/>
        </w:rPr>
        <w:t>中噻虫胺残留量超标的原因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5B7B3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腈菌唑</w:t>
      </w:r>
    </w:p>
    <w:p w14:paraId="7696D5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ind w:left="0" w:leftChars="0" w:firstLine="640" w:firstLineChars="200"/>
        <w:textAlignment w:val="auto"/>
        <w:rPr>
          <w:rFonts w:hint="eastAsia" w:ascii="Times New Roman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  <w:t>腈菌唑属三唑类杀菌剂，具有内吸、保护和治疗作用，能有效抑制真菌细胞膜上麦角甾醇的生物合成，对白粉病、锈病、黑星病、叶斑病等多种作物真菌病</w:t>
      </w:r>
      <w:bookmarkStart w:id="0" w:name="_GoBack"/>
      <w:bookmarkEnd w:id="0"/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  <w:t>害防效显著。少量残留不会引发人体急性中毒，但长期摄入腈菌唑超标的食品，可能对人体肝脏、肾脏等器官产生潜在影响，特殊人群需重点防护。《食品安全国家标准 食品中农药最大残留限量》（GB 2763—2019、GB 2763—2021）中规定，腈菌唑在苹果中的最大残留限量值为0.5mg/kg，葡萄中为0.2mg/kg，小麦中为0.1mg/kg，黄瓜、辣椒、草莓等作物也有明确对应限量要求。食品中腈菌唑残留量超标的原因，可能是种植户为强化防效，违规增加用药浓度或施药频次；也可能是未严格遵守安全间隔期规定，如苹果采收前需间隔21天、黄瓜14天，种植户提前采收导致农药未能充分降解，最终造成上市产品残留量超标。</w:t>
      </w:r>
    </w:p>
    <w:p w14:paraId="46C42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啶虫脒</w:t>
      </w:r>
    </w:p>
    <w:p w14:paraId="65B04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啶虫脒属第一代新烟碱类杀虫剂（氯代烟碱型），具有触杀、胃毒和渗透作用，对蚜虫、粉虱、蓟马、黄条跳甲等害虫高效，药效与温度呈正相关，25℃以上活性显著增强。少量残留不会引起人体急性中毒，但长期食用啶虫脒超标的食品，可能对人体神经系统产生潜在影响，尤其需关注儿童健康风险。《食品安全国家标准 食品中农药最大残留限量》（GB 2763—2019、GB 2763—2021）中规定，啶虫脒在韭菜中的最大残留限量值为 2mg/kg，甜椒中为 1mg/kg，红辣椒中为 0.2mg/kg，甘蓝、番茄、菜豆等作物也有对应限量要求。食品中啶虫脒残留量超标的原因，可能是种植户为快速控制虫害，违规加大用药量或增加施药次数；也可能是未遵守安全间隔期规定，如甘蓝采收前需间隔 7 天、番茄 5 天，种植户提前采收导致农药未充分降解，最终使上市产品残留量超标。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0792034"/>
    </w:sdtPr>
    <w:sdtEndPr>
      <w:rPr>
        <w:lang w:val="zh-CN"/>
      </w:rPr>
    </w:sdtEndPr>
    <w:sdtContent>
      <w:p w14:paraId="158F633F">
        <w:pPr>
          <w:pStyle w:val="6"/>
          <w:jc w:val="center"/>
          <w:rPr>
            <w:lang w:val="zh-CN"/>
          </w:rPr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0367D79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zgwMjU1MjNmZmI2NTBjNGYyZDM1NWZjY2NjN2UifQ=="/>
  </w:docVars>
  <w:rsids>
    <w:rsidRoot w:val="07A636A3"/>
    <w:rsid w:val="01960A5E"/>
    <w:rsid w:val="046257D2"/>
    <w:rsid w:val="07A636A3"/>
    <w:rsid w:val="08297435"/>
    <w:rsid w:val="19A50D08"/>
    <w:rsid w:val="1BF81C07"/>
    <w:rsid w:val="300C3BE6"/>
    <w:rsid w:val="34B6607F"/>
    <w:rsid w:val="3A8D2D9B"/>
    <w:rsid w:val="4CEF5216"/>
    <w:rsid w:val="5402514E"/>
    <w:rsid w:val="5FA06425"/>
    <w:rsid w:val="5FF313CD"/>
    <w:rsid w:val="63721B79"/>
    <w:rsid w:val="66895219"/>
    <w:rsid w:val="689F3C5B"/>
    <w:rsid w:val="6C59148B"/>
    <w:rsid w:val="714F60B7"/>
    <w:rsid w:val="71ED14FB"/>
    <w:rsid w:val="797E4D94"/>
    <w:rsid w:val="7ED9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5"/>
    <w:autoRedefine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5">
    <w:name w:val="toc 2"/>
    <w:basedOn w:val="1"/>
    <w:next w:val="1"/>
    <w:autoRedefine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f0882d0-1090-43b9-a63b-42e0b484b6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907</Words>
  <Characters>1013</Characters>
  <Lines>0</Lines>
  <Paragraphs>0</Paragraphs>
  <TotalTime>28</TotalTime>
  <ScaleCrop>false</ScaleCrop>
  <LinksUpToDate>false</LinksUpToDate>
  <CharactersWithSpaces>1028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2023-03-27T05:18:00Z</dcterms:created>
  <dc:creator>Administrator</dc:creator>
  <cp:lastModifiedBy>峰</cp:lastModifiedBy>
  <cp:lastPrinted>2026-01-19T09:49:00Z</cp:lastPrinted>
  <dcterms:modified xsi:type="dcterms:W3CDTF">2026-01-21T03:55:53Z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50189290D4F84AAB99CAF4494C1BA90C_13</vt:lpwstr>
  </property>
  <property fmtid="{D5CDD505-2E9C-101B-9397-08002B2CF9AE}" pid="4" name="KSOTemplateDocerSaveRecord">
    <vt:lpwstr>eyJoZGlkIjoiOWMyMTNhYTAyNTAyODI2NDZjZjcxMzhhMTNkYmRkODgiLCJ1c2VySWQiOiI1Nzg0OTgyNjMifQ==</vt:lpwstr>
  </property>
</Properties>
</file>